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49" w:rsidRDefault="001A64F5" w:rsidP="00AB5850">
      <w:pPr>
        <w:jc w:val="center"/>
      </w:pPr>
      <w:r>
        <w:t xml:space="preserve">KİRA SERTİFİKALARI (SUKUK) </w:t>
      </w:r>
      <w:r w:rsidR="00117AAC">
        <w:t xml:space="preserve">KONUSUNDA </w:t>
      </w:r>
      <w:r w:rsidR="009B5579">
        <w:t>TARTIŞ</w:t>
      </w:r>
      <w:r w:rsidR="00117AAC">
        <w:t>ILAN</w:t>
      </w:r>
      <w:r w:rsidR="00354C9D">
        <w:rPr>
          <w:rStyle w:val="DipnotBavurusu"/>
        </w:rPr>
        <w:footnoteReference w:id="1"/>
      </w:r>
      <w:r w:rsidR="00117AAC">
        <w:t xml:space="preserve"> </w:t>
      </w:r>
      <w:r w:rsidR="009B5579">
        <w:t>TEMEL SORUNLAR</w:t>
      </w:r>
      <w:r w:rsidR="000F00EB">
        <w:t xml:space="preserve"> </w:t>
      </w:r>
    </w:p>
    <w:p w:rsidR="00117AAC" w:rsidRDefault="00117AAC" w:rsidP="00AB5850">
      <w:pPr>
        <w:jc w:val="center"/>
      </w:pPr>
    </w:p>
    <w:p w:rsidR="00117AAC" w:rsidRDefault="00117AAC" w:rsidP="00117AAC">
      <w:pPr>
        <w:jc w:val="right"/>
      </w:pPr>
      <w:r>
        <w:t>Bekir HALAÇOĞLU</w:t>
      </w:r>
      <w:r>
        <w:rPr>
          <w:rStyle w:val="DipnotBavurusu"/>
        </w:rPr>
        <w:footnoteReference w:id="2"/>
      </w:r>
    </w:p>
    <w:p w:rsidR="00117AAC" w:rsidRDefault="00117AAC" w:rsidP="00AB5850">
      <w:pPr>
        <w:jc w:val="center"/>
      </w:pPr>
    </w:p>
    <w:p w:rsidR="00AB5850" w:rsidRDefault="00AB5850" w:rsidP="00A130BE">
      <w:r>
        <w:tab/>
        <w:t>Kira sertifikaları (</w:t>
      </w:r>
      <w:proofErr w:type="spellStart"/>
      <w:r>
        <w:t>Sukuk</w:t>
      </w:r>
      <w:proofErr w:type="spellEnd"/>
      <w:r>
        <w:t>)</w:t>
      </w:r>
      <w:r>
        <w:rPr>
          <w:rStyle w:val="DipnotBavurusu"/>
        </w:rPr>
        <w:footnoteReference w:id="3"/>
      </w:r>
      <w:r>
        <w:t xml:space="preserve"> </w:t>
      </w:r>
      <w:r w:rsidR="00D9327B">
        <w:t xml:space="preserve">ülkemiz </w:t>
      </w:r>
      <w:r>
        <w:t>iktisadi</w:t>
      </w:r>
      <w:r w:rsidR="00B07263">
        <w:t>/finansal</w:t>
      </w:r>
      <w:r>
        <w:t xml:space="preserve"> hayatı</w:t>
      </w:r>
      <w:r w:rsidR="00D9327B">
        <w:t>n</w:t>
      </w:r>
      <w:r>
        <w:t xml:space="preserve">a </w:t>
      </w:r>
      <w:r w:rsidR="00A130BE">
        <w:t xml:space="preserve">2010 yılından bu yana girmiş olan, oldukça yeni bir finansal üründür. </w:t>
      </w:r>
      <w:r w:rsidR="00D710FD">
        <w:t>AAOIFI</w:t>
      </w:r>
      <w:r w:rsidR="00D710FD">
        <w:rPr>
          <w:rStyle w:val="DipnotBavurusu"/>
        </w:rPr>
        <w:footnoteReference w:id="4"/>
      </w:r>
      <w:r w:rsidR="00D710FD">
        <w:t xml:space="preserve"> şu biçimde tanımlamıştır: “</w:t>
      </w:r>
      <w:proofErr w:type="spellStart"/>
      <w:r w:rsidR="00D710FD" w:rsidRPr="00D710FD">
        <w:rPr>
          <w:i/>
        </w:rPr>
        <w:t>Sukuk</w:t>
      </w:r>
      <w:proofErr w:type="spellEnd"/>
      <w:r w:rsidR="00D710FD" w:rsidRPr="00D710FD">
        <w:rPr>
          <w:i/>
        </w:rPr>
        <w:t>, mevcut mal (</w:t>
      </w:r>
      <w:proofErr w:type="spellStart"/>
      <w:r w:rsidR="00D710FD" w:rsidRPr="00D710FD">
        <w:rPr>
          <w:i/>
        </w:rPr>
        <w:t>ayn</w:t>
      </w:r>
      <w:proofErr w:type="spellEnd"/>
      <w:r w:rsidR="00D710FD" w:rsidRPr="00D710FD">
        <w:rPr>
          <w:i/>
        </w:rPr>
        <w:t>), menfaat veya hizmet ya da belirli / mevcut bir proje veya özel bir yatırım faaliyeti halinde bulunan varlıklar üzerinde şayi ortak mülkiyeti ifade eder şekilde ve birbirine eşit değerde ihraç edilen sertifikalardır.</w:t>
      </w:r>
      <w:r w:rsidR="00D710FD">
        <w:t>”</w:t>
      </w:r>
      <w:r w:rsidR="00D9327B">
        <w:rPr>
          <w:rStyle w:val="DipnotBavurusu"/>
        </w:rPr>
        <w:footnoteReference w:id="5"/>
      </w:r>
      <w:r w:rsidR="00D710FD" w:rsidRPr="00D710FD">
        <w:t xml:space="preserve"> </w:t>
      </w:r>
      <w:proofErr w:type="spellStart"/>
      <w:proofErr w:type="gramStart"/>
      <w:r w:rsidR="00A130BE">
        <w:t>Erbab</w:t>
      </w:r>
      <w:proofErr w:type="spellEnd"/>
      <w:r w:rsidR="00A130BE">
        <w:t xml:space="preserve">-ı ilim </w:t>
      </w:r>
      <w:r w:rsidR="00AD60B6">
        <w:t xml:space="preserve">ise </w:t>
      </w:r>
      <w:r w:rsidR="00A130BE">
        <w:t>şu biçimlerde tanımlamıştır: “</w:t>
      </w:r>
      <w:r w:rsidR="00A130BE" w:rsidRPr="00A130BE">
        <w:rPr>
          <w:i/>
        </w:rPr>
        <w:t>Çoğul bir terim olan "</w:t>
      </w:r>
      <w:proofErr w:type="spellStart"/>
      <w:r w:rsidR="00A130BE" w:rsidRPr="00A130BE">
        <w:rPr>
          <w:i/>
        </w:rPr>
        <w:t>Suk</w:t>
      </w:r>
      <w:r w:rsidR="00AD60B6">
        <w:rPr>
          <w:i/>
        </w:rPr>
        <w:t>u</w:t>
      </w:r>
      <w:r w:rsidR="00A130BE" w:rsidRPr="00A130BE">
        <w:rPr>
          <w:i/>
        </w:rPr>
        <w:t>k"un</w:t>
      </w:r>
      <w:proofErr w:type="spellEnd"/>
      <w:r w:rsidR="00A130BE" w:rsidRPr="00A130BE">
        <w:rPr>
          <w:i/>
        </w:rPr>
        <w:t xml:space="preserve"> (tekili "</w:t>
      </w:r>
      <w:proofErr w:type="spellStart"/>
      <w:r w:rsidR="00A130BE" w:rsidRPr="00A130BE">
        <w:rPr>
          <w:i/>
        </w:rPr>
        <w:t>Sakk</w:t>
      </w:r>
      <w:proofErr w:type="spellEnd"/>
      <w:r w:rsidR="00A130BE" w:rsidRPr="00A130BE">
        <w:rPr>
          <w:i/>
        </w:rPr>
        <w:t>") İslami Finansal Hizmetler Kurulu tarafından yapılan tanımına göre; her bir sak; maddi varlıklar veya ağırlıklı ölçüde maddi varlık içeren bir varlık havuzu veya bir iktisadi teşebbüs (Mudârabe gibi) üzerinde orantılı ve bölünemez sahiplik hakkını temsil eder</w:t>
      </w:r>
      <w:r w:rsidR="00A130BE">
        <w:t>”</w:t>
      </w:r>
      <w:r w:rsidR="00A130BE">
        <w:rPr>
          <w:rStyle w:val="DipnotBavurusu"/>
        </w:rPr>
        <w:footnoteReference w:id="6"/>
      </w:r>
      <w:r w:rsidR="00A130BE">
        <w:t xml:space="preserve">; </w:t>
      </w:r>
      <w:r w:rsidR="00B07263">
        <w:t>“</w:t>
      </w:r>
      <w:r w:rsidR="00B82317" w:rsidRPr="00B07263">
        <w:rPr>
          <w:i/>
        </w:rPr>
        <w:t>Finans edebiyatında “mevcut yahut proje halindeki mal veya menfaatin şayi ortaklık esaslı</w:t>
      </w:r>
      <w:r w:rsidR="00B82317" w:rsidRPr="00B82317">
        <w:rPr>
          <w:i/>
        </w:rPr>
        <w:t xml:space="preserve"> eşit değerli sertifika haline getirilerek yatırımcılara arz edilmesi işlemine menkul kıymetleştirme (Arp: </w:t>
      </w:r>
      <w:proofErr w:type="spellStart"/>
      <w:r w:rsidR="00B82317" w:rsidRPr="00B82317">
        <w:rPr>
          <w:i/>
        </w:rPr>
        <w:t>taskik</w:t>
      </w:r>
      <w:proofErr w:type="spellEnd"/>
      <w:r w:rsidR="00B82317" w:rsidRPr="00B82317">
        <w:rPr>
          <w:i/>
        </w:rPr>
        <w:t xml:space="preserve">; İng. </w:t>
      </w:r>
      <w:proofErr w:type="spellStart"/>
      <w:r w:rsidR="00B82317" w:rsidRPr="00B82317">
        <w:rPr>
          <w:i/>
        </w:rPr>
        <w:t>secutization</w:t>
      </w:r>
      <w:proofErr w:type="spellEnd"/>
      <w:r w:rsidR="00B82317" w:rsidRPr="00B82317">
        <w:rPr>
          <w:i/>
        </w:rPr>
        <w:t xml:space="preserve">), bu değeri temsil eden belgeye </w:t>
      </w:r>
      <w:proofErr w:type="spellStart"/>
      <w:r w:rsidR="00B82317" w:rsidRPr="00B82317">
        <w:rPr>
          <w:i/>
        </w:rPr>
        <w:t>Sukuk</w:t>
      </w:r>
      <w:proofErr w:type="spellEnd"/>
      <w:r w:rsidR="00B82317" w:rsidRPr="00B82317">
        <w:rPr>
          <w:i/>
        </w:rPr>
        <w:t xml:space="preserve"> denir</w:t>
      </w:r>
      <w:r w:rsidR="00B82317" w:rsidRPr="00B82317">
        <w:t>”</w:t>
      </w:r>
      <w:r w:rsidR="00B82317">
        <w:rPr>
          <w:rStyle w:val="DipnotBavurusu"/>
        </w:rPr>
        <w:footnoteReference w:id="7"/>
      </w:r>
      <w:r w:rsidR="00B82317">
        <w:t xml:space="preserve"> Mevzuatımızda ise şöyle tanımlanmıştır: “</w:t>
      </w:r>
      <w:r w:rsidR="00B82317" w:rsidRPr="00485170">
        <w:rPr>
          <w:i/>
        </w:rPr>
        <w:t>Kira sertifikaları, her türlü varlık veya hakkın finansmanını sağlamak amacıyla varlık kiralama şirketleri tarafından ihraç edilen ve sahiplerinin bu varlık veya haklardan elde edilen gelirlerden payları oranında hak sahibi olmalarını sağlayan, nitelikleri Kurulca belirlenen sermaye piyasası araçlarıdır.</w:t>
      </w:r>
      <w:r w:rsidR="00B82317">
        <w:t>”</w:t>
      </w:r>
      <w:proofErr w:type="gramEnd"/>
      <w:r w:rsidR="00B82317">
        <w:rPr>
          <w:rStyle w:val="DipnotBavurusu"/>
        </w:rPr>
        <w:footnoteReference w:id="8"/>
      </w:r>
      <w:r w:rsidR="00485170">
        <w:t xml:space="preserve">, </w:t>
      </w:r>
      <w:r w:rsidR="00485170">
        <w:rPr>
          <w:bCs/>
        </w:rPr>
        <w:t>Kira Sertifikaları Tebliği (III</w:t>
      </w:r>
      <w:r w:rsidR="00485170" w:rsidRPr="00485170">
        <w:rPr>
          <w:bCs/>
        </w:rPr>
        <w:t>-61.1)</w:t>
      </w:r>
      <w:r w:rsidR="00485170">
        <w:rPr>
          <w:bCs/>
        </w:rPr>
        <w:t xml:space="preserve"> m.3/1-h’de bu </w:t>
      </w:r>
      <w:r w:rsidR="00485170">
        <w:t>tanım aynen tekrar edilmiştir.</w:t>
      </w:r>
      <w:r w:rsidR="00B07263">
        <w:t xml:space="preserve"> </w:t>
      </w:r>
    </w:p>
    <w:p w:rsidR="00837189" w:rsidRPr="00837189" w:rsidRDefault="00837189" w:rsidP="00837189">
      <w:r>
        <w:tab/>
        <w:t xml:space="preserve">İslam iktisadı, bankacılığı ve finansı üzerine yoğun çalışmalarıyla </w:t>
      </w:r>
      <w:proofErr w:type="spellStart"/>
      <w:r>
        <w:t>ma’ruf</w:t>
      </w:r>
      <w:proofErr w:type="spellEnd"/>
      <w:r>
        <w:t xml:space="preserve"> olan İslam Hukukçusu </w:t>
      </w:r>
      <w:r w:rsidRPr="00837189">
        <w:t>Servet BAYINDIR</w:t>
      </w:r>
      <w:r>
        <w:t>,</w:t>
      </w:r>
      <w:r w:rsidRPr="00837189">
        <w:t xml:space="preserve"> geleneksel fon sağlama </w:t>
      </w:r>
      <w:r>
        <w:t>ve</w:t>
      </w:r>
      <w:r w:rsidRPr="00837189">
        <w:t xml:space="preserve"> değerlendirme yöntemleri</w:t>
      </w:r>
      <w:r>
        <w:t>ni aşağıdaki tasnife tabi tutmaktadır:</w:t>
      </w:r>
    </w:p>
    <w:p w:rsidR="00837189" w:rsidRPr="00691907" w:rsidRDefault="00837189" w:rsidP="00EB4B0E">
      <w:pPr>
        <w:spacing w:after="0"/>
        <w:rPr>
          <w:i/>
        </w:rPr>
      </w:pPr>
      <w:r w:rsidRPr="00691907">
        <w:rPr>
          <w:i/>
        </w:rPr>
        <w:t>1. Güvene (İtibara) Dayalı Borçlanma Yöntemi ile Fon Sağlama</w:t>
      </w:r>
    </w:p>
    <w:p w:rsidR="00837189" w:rsidRPr="00691907" w:rsidRDefault="00837189" w:rsidP="00EB4B0E">
      <w:pPr>
        <w:spacing w:after="0"/>
        <w:ind w:firstLine="708"/>
        <w:rPr>
          <w:i/>
        </w:rPr>
      </w:pPr>
      <w:r w:rsidRPr="00691907">
        <w:rPr>
          <w:i/>
        </w:rPr>
        <w:t xml:space="preserve">a. </w:t>
      </w:r>
      <w:proofErr w:type="spellStart"/>
      <w:r w:rsidRPr="00691907">
        <w:rPr>
          <w:i/>
        </w:rPr>
        <w:t>Karz</w:t>
      </w:r>
      <w:proofErr w:type="spellEnd"/>
      <w:r w:rsidRPr="00691907">
        <w:rPr>
          <w:i/>
        </w:rPr>
        <w:t xml:space="preserve">-ı </w:t>
      </w:r>
      <w:proofErr w:type="spellStart"/>
      <w:r w:rsidRPr="00691907">
        <w:rPr>
          <w:i/>
        </w:rPr>
        <w:t>Hasen</w:t>
      </w:r>
      <w:proofErr w:type="spellEnd"/>
    </w:p>
    <w:p w:rsidR="00837189" w:rsidRPr="00691907" w:rsidRDefault="00837189" w:rsidP="00824569">
      <w:pPr>
        <w:ind w:firstLine="708"/>
        <w:rPr>
          <w:i/>
        </w:rPr>
      </w:pPr>
      <w:r w:rsidRPr="00691907">
        <w:rPr>
          <w:i/>
        </w:rPr>
        <w:t xml:space="preserve">b. </w:t>
      </w:r>
      <w:proofErr w:type="spellStart"/>
      <w:r w:rsidRPr="00691907">
        <w:rPr>
          <w:i/>
        </w:rPr>
        <w:t>Karz</w:t>
      </w:r>
      <w:proofErr w:type="spellEnd"/>
      <w:r w:rsidRPr="00691907">
        <w:rPr>
          <w:i/>
        </w:rPr>
        <w:t xml:space="preserve">-ı </w:t>
      </w:r>
      <w:proofErr w:type="spellStart"/>
      <w:r w:rsidRPr="00691907">
        <w:rPr>
          <w:i/>
        </w:rPr>
        <w:t>Ribevi</w:t>
      </w:r>
      <w:proofErr w:type="spellEnd"/>
    </w:p>
    <w:p w:rsidR="00837189" w:rsidRPr="00691907" w:rsidRDefault="00837189" w:rsidP="00EB4B0E">
      <w:pPr>
        <w:spacing w:after="0" w:line="240" w:lineRule="auto"/>
        <w:rPr>
          <w:i/>
        </w:rPr>
      </w:pPr>
      <w:r w:rsidRPr="00691907">
        <w:rPr>
          <w:i/>
        </w:rPr>
        <w:lastRenderedPageBreak/>
        <w:t xml:space="preserve">2. Teminata Dayalı (Rehin &amp; Kefalet) Borçlanma Yöntemi </w:t>
      </w:r>
      <w:r w:rsidR="00824569" w:rsidRPr="00691907">
        <w:rPr>
          <w:i/>
        </w:rPr>
        <w:t>İ</w:t>
      </w:r>
      <w:r w:rsidRPr="00691907">
        <w:rPr>
          <w:i/>
        </w:rPr>
        <w:t>le Fon Sağlama</w:t>
      </w:r>
    </w:p>
    <w:p w:rsidR="00837189" w:rsidRPr="00691907" w:rsidRDefault="00837189" w:rsidP="00EB4B0E">
      <w:pPr>
        <w:spacing w:after="0" w:line="240" w:lineRule="auto"/>
        <w:ind w:firstLine="708"/>
        <w:rPr>
          <w:i/>
        </w:rPr>
      </w:pPr>
      <w:r w:rsidRPr="00691907">
        <w:rPr>
          <w:i/>
        </w:rPr>
        <w:t>a. Bir Şahsın Teminat (Kefil) Gösterilmesi</w:t>
      </w:r>
    </w:p>
    <w:p w:rsidR="00837189" w:rsidRPr="00691907" w:rsidRDefault="00837189" w:rsidP="00EB4B0E">
      <w:pPr>
        <w:spacing w:after="0" w:line="240" w:lineRule="auto"/>
        <w:ind w:firstLine="708"/>
        <w:rPr>
          <w:i/>
        </w:rPr>
      </w:pPr>
      <w:r w:rsidRPr="00691907">
        <w:rPr>
          <w:i/>
        </w:rPr>
        <w:t>b. Bir Varlığın Teminat Gösterilmesi (</w:t>
      </w:r>
      <w:proofErr w:type="spellStart"/>
      <w:r w:rsidRPr="00691907">
        <w:rPr>
          <w:i/>
        </w:rPr>
        <w:t>Asset-Based</w:t>
      </w:r>
      <w:proofErr w:type="spellEnd"/>
      <w:r w:rsidRPr="00691907">
        <w:rPr>
          <w:i/>
        </w:rPr>
        <w:t xml:space="preserve"> </w:t>
      </w:r>
      <w:proofErr w:type="spellStart"/>
      <w:r w:rsidRPr="00691907">
        <w:rPr>
          <w:i/>
        </w:rPr>
        <w:t>Securities</w:t>
      </w:r>
      <w:proofErr w:type="spellEnd"/>
      <w:r w:rsidRPr="00691907">
        <w:rPr>
          <w:i/>
        </w:rPr>
        <w:t>/Rehin) (</w:t>
      </w:r>
      <w:r w:rsidRPr="00691907">
        <w:rPr>
          <w:i/>
          <w:sz w:val="20"/>
        </w:rPr>
        <w:t>Faizli veya Faizsiz</w:t>
      </w:r>
      <w:r w:rsidRPr="00691907">
        <w:rPr>
          <w:i/>
        </w:rPr>
        <w:t xml:space="preserve">) </w:t>
      </w:r>
    </w:p>
    <w:p w:rsidR="00837189" w:rsidRPr="00691907" w:rsidRDefault="00837189" w:rsidP="00EB4B0E">
      <w:pPr>
        <w:spacing w:line="240" w:lineRule="auto"/>
        <w:ind w:firstLine="708"/>
        <w:rPr>
          <w:i/>
        </w:rPr>
      </w:pPr>
      <w:r w:rsidRPr="00691907">
        <w:rPr>
          <w:i/>
        </w:rPr>
        <w:t>c. Alacağın Teminat Gösteri</w:t>
      </w:r>
      <w:r w:rsidR="00B05BA3" w:rsidRPr="00691907">
        <w:rPr>
          <w:i/>
        </w:rPr>
        <w:t>lmesi (</w:t>
      </w:r>
      <w:proofErr w:type="spellStart"/>
      <w:r w:rsidR="00B05BA3" w:rsidRPr="00691907">
        <w:rPr>
          <w:i/>
        </w:rPr>
        <w:t>Asset-Backed</w:t>
      </w:r>
      <w:proofErr w:type="spellEnd"/>
      <w:r w:rsidR="00B05BA3" w:rsidRPr="00691907">
        <w:rPr>
          <w:i/>
        </w:rPr>
        <w:t xml:space="preserve"> </w:t>
      </w:r>
      <w:proofErr w:type="spellStart"/>
      <w:r w:rsidR="00B05BA3" w:rsidRPr="00691907">
        <w:rPr>
          <w:i/>
        </w:rPr>
        <w:t>Securities</w:t>
      </w:r>
      <w:proofErr w:type="spellEnd"/>
      <w:r w:rsidR="00B05BA3" w:rsidRPr="00691907">
        <w:rPr>
          <w:i/>
        </w:rPr>
        <w:t>/</w:t>
      </w:r>
      <w:proofErr w:type="spellStart"/>
      <w:r w:rsidRPr="00691907">
        <w:rPr>
          <w:i/>
        </w:rPr>
        <w:t>Beyu’d-deyn</w:t>
      </w:r>
      <w:proofErr w:type="spellEnd"/>
      <w:r w:rsidRPr="00691907">
        <w:rPr>
          <w:i/>
        </w:rPr>
        <w:t>) (</w:t>
      </w:r>
      <w:r w:rsidR="00B05BA3" w:rsidRPr="00691907">
        <w:rPr>
          <w:i/>
          <w:sz w:val="20"/>
        </w:rPr>
        <w:t>Faizli veya Faizsiz</w:t>
      </w:r>
      <w:r w:rsidRPr="00691907">
        <w:rPr>
          <w:i/>
        </w:rPr>
        <w:t xml:space="preserve">) </w:t>
      </w:r>
    </w:p>
    <w:p w:rsidR="00837189" w:rsidRPr="00691907" w:rsidRDefault="00837189" w:rsidP="00EB4B0E">
      <w:pPr>
        <w:spacing w:after="0"/>
        <w:rPr>
          <w:i/>
        </w:rPr>
      </w:pPr>
      <w:r w:rsidRPr="00691907">
        <w:rPr>
          <w:i/>
        </w:rPr>
        <w:t>3. Menfaat Yahut Mal Satımına Dayalı Fon Sağlama</w:t>
      </w:r>
    </w:p>
    <w:p w:rsidR="00837189" w:rsidRPr="00691907" w:rsidRDefault="00837189" w:rsidP="00EB4B0E">
      <w:pPr>
        <w:spacing w:after="0"/>
        <w:ind w:firstLine="708"/>
        <w:rPr>
          <w:i/>
        </w:rPr>
      </w:pPr>
      <w:r w:rsidRPr="00691907">
        <w:rPr>
          <w:i/>
        </w:rPr>
        <w:t>a. Menfaat Satımı Temelli Fon Sağlama (</w:t>
      </w:r>
      <w:proofErr w:type="spellStart"/>
      <w:r w:rsidRPr="00691907">
        <w:rPr>
          <w:i/>
        </w:rPr>
        <w:t>İcare</w:t>
      </w:r>
      <w:proofErr w:type="spellEnd"/>
      <w:r w:rsidRPr="00691907">
        <w:rPr>
          <w:i/>
        </w:rPr>
        <w:t xml:space="preserve">) </w:t>
      </w:r>
    </w:p>
    <w:p w:rsidR="00837189" w:rsidRPr="00691907" w:rsidRDefault="00837189" w:rsidP="00EB4B0E">
      <w:pPr>
        <w:spacing w:after="0"/>
        <w:ind w:firstLine="708"/>
        <w:rPr>
          <w:i/>
        </w:rPr>
      </w:pPr>
      <w:r w:rsidRPr="00691907">
        <w:rPr>
          <w:i/>
        </w:rPr>
        <w:t>b. Mal Satımı Temelli Fon Sağlama (Bey‘)</w:t>
      </w:r>
    </w:p>
    <w:p w:rsidR="00837189" w:rsidRPr="00691907" w:rsidRDefault="00837189" w:rsidP="00EB4B0E">
      <w:pPr>
        <w:spacing w:after="0"/>
        <w:ind w:firstLine="708"/>
        <w:rPr>
          <w:i/>
        </w:rPr>
      </w:pPr>
      <w:r w:rsidRPr="00691907">
        <w:rPr>
          <w:i/>
        </w:rPr>
        <w:t>- Malın Tümüyle Satımı</w:t>
      </w:r>
    </w:p>
    <w:p w:rsidR="00837189" w:rsidRPr="00691907" w:rsidRDefault="00837189" w:rsidP="00B05BA3">
      <w:pPr>
        <w:ind w:firstLine="708"/>
        <w:rPr>
          <w:i/>
        </w:rPr>
      </w:pPr>
      <w:r w:rsidRPr="00691907">
        <w:rPr>
          <w:i/>
        </w:rPr>
        <w:t xml:space="preserve">- Malın Bir Kısmının Satımı (Hisse Senedi İhracı) </w:t>
      </w:r>
    </w:p>
    <w:p w:rsidR="00837189" w:rsidRPr="00691907" w:rsidRDefault="00837189" w:rsidP="00837189">
      <w:pPr>
        <w:rPr>
          <w:i/>
        </w:rPr>
      </w:pPr>
      <w:proofErr w:type="spellStart"/>
      <w:r w:rsidRPr="00691907">
        <w:rPr>
          <w:i/>
        </w:rPr>
        <w:t>Sukuk</w:t>
      </w:r>
      <w:proofErr w:type="spellEnd"/>
      <w:r w:rsidRPr="00691907">
        <w:rPr>
          <w:i/>
        </w:rPr>
        <w:t>; Teoride Mevcut veya İleride Mevcut Olacak Mal Yahut Menfaat Satımı Temelli Fon Sağlama Yöntemidir</w:t>
      </w:r>
      <w:r w:rsidR="00B05BA3" w:rsidRPr="00691907">
        <w:rPr>
          <w:i/>
          <w:vertAlign w:val="superscript"/>
        </w:rPr>
        <w:footnoteReference w:id="9"/>
      </w:r>
      <w:r w:rsidRPr="00691907">
        <w:rPr>
          <w:i/>
        </w:rPr>
        <w:t>.</w:t>
      </w:r>
    </w:p>
    <w:p w:rsidR="00A17725" w:rsidRDefault="0009318C" w:rsidP="00A17725">
      <w:r>
        <w:tab/>
      </w:r>
      <w:r w:rsidR="00A17725" w:rsidRPr="00A17725">
        <w:t xml:space="preserve">Bütün bu tanımlamalar </w:t>
      </w:r>
      <w:r w:rsidR="00A17725">
        <w:t xml:space="preserve">ve tasnifler </w:t>
      </w:r>
      <w:r w:rsidR="00A17725" w:rsidRPr="00A17725">
        <w:t xml:space="preserve">nazara alındığında </w:t>
      </w:r>
      <w:proofErr w:type="spellStart"/>
      <w:r w:rsidR="00A17725" w:rsidRPr="00A17725">
        <w:t>sukukun</w:t>
      </w:r>
      <w:proofErr w:type="spellEnd"/>
      <w:r w:rsidR="00A17725" w:rsidRPr="00A17725">
        <w:t>, “kaynak sağlama” amacına matuf olarak vücut bulmuş</w:t>
      </w:r>
      <w:r w:rsidR="00A17725">
        <w:t>,</w:t>
      </w:r>
      <w:r w:rsidR="00A17725" w:rsidRPr="00A17725">
        <w:t xml:space="preserve"> “finansal” bir hukuki müessese olduğu açıktır.</w:t>
      </w:r>
      <w:r w:rsidR="00A17725">
        <w:t xml:space="preserve"> </w:t>
      </w:r>
      <w:r w:rsidR="00691907">
        <w:t xml:space="preserve">Gerek yurt içinde ve gerekse yurt dışında konuyla alakalı çalışmalar yapan </w:t>
      </w:r>
      <w:r w:rsidR="00B07263">
        <w:t xml:space="preserve">(doktrin) </w:t>
      </w:r>
      <w:r w:rsidR="00691907">
        <w:t xml:space="preserve">hemen herkes, </w:t>
      </w:r>
      <w:proofErr w:type="spellStart"/>
      <w:r w:rsidR="00691907">
        <w:t>sukukun</w:t>
      </w:r>
      <w:proofErr w:type="spellEnd"/>
      <w:r w:rsidR="00A17725">
        <w:t>,</w:t>
      </w:r>
      <w:r>
        <w:t xml:space="preserve"> </w:t>
      </w:r>
      <w:r w:rsidR="00A57287">
        <w:t xml:space="preserve">teorik olarak </w:t>
      </w:r>
      <w:r>
        <w:t>faizsiz bir kaynak sağlama aracı olduğu konusunda hemfikir gibidir.</w:t>
      </w:r>
      <w:r w:rsidR="00A57287">
        <w:t xml:space="preserve"> </w:t>
      </w:r>
      <w:r w:rsidR="00BE50E5">
        <w:t>Türkiye uygulamasın</w:t>
      </w:r>
      <w:r w:rsidR="00740B2E">
        <w:t xml:space="preserve">da da menkul kıymet olarak nitelendirilen </w:t>
      </w:r>
      <w:proofErr w:type="spellStart"/>
      <w:r w:rsidR="00740B2E">
        <w:t>sukuk</w:t>
      </w:r>
      <w:proofErr w:type="spellEnd"/>
      <w:r w:rsidR="00740B2E">
        <w:t xml:space="preserve">, bir sermaye piyasası aracıdır. </w:t>
      </w:r>
      <w:r w:rsidR="00A17725">
        <w:t xml:space="preserve">Yani finansal bir üründür. </w:t>
      </w:r>
      <w:r w:rsidR="00574510">
        <w:t xml:space="preserve">Bütün bu nitelemeleri yaparken varmak istediğimiz yer, </w:t>
      </w:r>
      <w:proofErr w:type="spellStart"/>
      <w:r w:rsidR="00574510">
        <w:t>sukuk</w:t>
      </w:r>
      <w:proofErr w:type="spellEnd"/>
      <w:r w:rsidR="00574510">
        <w:t xml:space="preserve"> ile alakalı değerlendirmeler ve eleştiriler yapılırken, </w:t>
      </w:r>
      <w:proofErr w:type="spellStart"/>
      <w:r w:rsidR="00574510">
        <w:t>sukukun</w:t>
      </w:r>
      <w:proofErr w:type="spellEnd"/>
      <w:r w:rsidR="00574510">
        <w:t xml:space="preserve"> varlık sebebinin gözden uzak tutulmaması gereğidir.</w:t>
      </w:r>
    </w:p>
    <w:p w:rsidR="00740B2E" w:rsidRDefault="00740B2E" w:rsidP="00740B2E">
      <w:pPr>
        <w:ind w:firstLine="708"/>
      </w:pPr>
      <w:r>
        <w:t xml:space="preserve">Türkiye’de </w:t>
      </w:r>
      <w:proofErr w:type="spellStart"/>
      <w:r>
        <w:t>sukuk</w:t>
      </w:r>
      <w:proofErr w:type="spellEnd"/>
      <w:r>
        <w:t xml:space="preserve"> uygulaması</w:t>
      </w:r>
      <w:r w:rsidR="00BE50E5">
        <w:t xml:space="preserve"> </w:t>
      </w:r>
      <w:proofErr w:type="spellStart"/>
      <w:r w:rsidR="00BE50E5">
        <w:t>SPK</w:t>
      </w:r>
      <w:r w:rsidR="00574510">
        <w:t>n</w:t>
      </w:r>
      <w:proofErr w:type="spellEnd"/>
      <w:r w:rsidR="00574510">
        <w:t>.</w:t>
      </w:r>
      <w:r w:rsidR="00BE50E5">
        <w:t xml:space="preserve"> m.61 ile bu maddeye dayalı olarak çıkarılmış bulunan Tebliğ hükümlerine </w:t>
      </w:r>
      <w:r>
        <w:t xml:space="preserve">göre yönlendirilmekte ise </w:t>
      </w:r>
      <w:r w:rsidR="00BE50E5">
        <w:t xml:space="preserve">de </w:t>
      </w:r>
      <w:r>
        <w:t xml:space="preserve">Tebliğin </w:t>
      </w:r>
      <w:r w:rsidR="00E376D9">
        <w:t>kapsam maddesi olan 1 inci maddesinin, ikinci fıkrası</w:t>
      </w:r>
      <w:r w:rsidR="00E376D9" w:rsidRPr="00E376D9">
        <w:t xml:space="preserve"> </w:t>
      </w:r>
      <w:r w:rsidR="00E376D9">
        <w:t>“</w:t>
      </w:r>
      <w:proofErr w:type="gramStart"/>
      <w:r w:rsidR="00E376D9" w:rsidRPr="00E376D9">
        <w:rPr>
          <w:i/>
        </w:rPr>
        <w:t>28/3/2002</w:t>
      </w:r>
      <w:proofErr w:type="gramEnd"/>
      <w:r w:rsidR="00E376D9" w:rsidRPr="00E376D9">
        <w:rPr>
          <w:i/>
        </w:rPr>
        <w:t xml:space="preserve"> tarihli ve 4749 sayılı Kamu Finansmanı ve Borç Yönetiminin Düzenlenmesi Hakkında </w:t>
      </w:r>
      <w:hyperlink r:id="rId8" w:anchor="7A" w:history="1">
        <w:r w:rsidR="00E376D9" w:rsidRPr="00E376D9">
          <w:rPr>
            <w:i/>
          </w:rPr>
          <w:t>Kanun</w:t>
        </w:r>
        <w:r w:rsidR="00E376D9">
          <w:rPr>
            <w:i/>
          </w:rPr>
          <w:t>’</w:t>
        </w:r>
        <w:r w:rsidR="00E376D9" w:rsidRPr="00E376D9">
          <w:rPr>
            <w:i/>
          </w:rPr>
          <w:t>un</w:t>
        </w:r>
      </w:hyperlink>
      <w:r w:rsidR="00E376D9" w:rsidRPr="00E376D9">
        <w:rPr>
          <w:i/>
        </w:rPr>
        <w:t xml:space="preserve"> 7/A maddesi kapsamında ihraç edilen kira sertifikaları ile bu kapsamda kurulan varlık kiralama şirketleri bu Tebliğ hükümlerine tabi değildir.</w:t>
      </w:r>
      <w:r w:rsidR="00E376D9">
        <w:t xml:space="preserve">” </w:t>
      </w:r>
      <w:r>
        <w:t xml:space="preserve">demek suretiyle hazine </w:t>
      </w:r>
      <w:proofErr w:type="spellStart"/>
      <w:r>
        <w:t>sukukları</w:t>
      </w:r>
      <w:proofErr w:type="spellEnd"/>
      <w:r>
        <w:t xml:space="preserve"> </w:t>
      </w:r>
      <w:r w:rsidR="00574510">
        <w:t xml:space="preserve">Tebliğ </w:t>
      </w:r>
      <w:r>
        <w:t>kapsam</w:t>
      </w:r>
      <w:r w:rsidR="00574510">
        <w:t>ı</w:t>
      </w:r>
      <w:r>
        <w:t xml:space="preserve"> dışı</w:t>
      </w:r>
      <w:r w:rsidR="00574510">
        <w:t>nda</w:t>
      </w:r>
      <w:r>
        <w:t xml:space="preserve"> bırakılmıştır.</w:t>
      </w:r>
      <w:r w:rsidR="00E376D9">
        <w:t xml:space="preserve"> </w:t>
      </w:r>
    </w:p>
    <w:p w:rsidR="0009318C" w:rsidRDefault="00740B2E" w:rsidP="00740B2E">
      <w:pPr>
        <w:ind w:firstLine="708"/>
      </w:pPr>
      <w:r>
        <w:t xml:space="preserve">Kanun ve Tebliğ’de yer alan hukuki düzenlemelerde </w:t>
      </w:r>
      <w:r w:rsidR="00BE50E5">
        <w:t>teorik bakımdan çok önemli bir sorun</w:t>
      </w:r>
      <w:r w:rsidR="00643F2D">
        <w:t>/aykırılık olmadığı kanısındayız</w:t>
      </w:r>
      <w:r w:rsidR="00BE50E5">
        <w:t xml:space="preserve">. O halde, </w:t>
      </w:r>
      <w:proofErr w:type="spellStart"/>
      <w:r w:rsidR="00BE50E5">
        <w:t>sukuk</w:t>
      </w:r>
      <w:proofErr w:type="spellEnd"/>
      <w:r w:rsidR="00BE50E5">
        <w:t xml:space="preserve"> ile ilgili eleştiriler nereden kaynaklanıyor? </w:t>
      </w:r>
      <w:r w:rsidR="00E376D9">
        <w:t xml:space="preserve">Bu yazının </w:t>
      </w:r>
      <w:r>
        <w:t xml:space="preserve">asıl </w:t>
      </w:r>
      <w:r w:rsidR="00E376D9">
        <w:t xml:space="preserve">amacı, </w:t>
      </w:r>
      <w:proofErr w:type="spellStart"/>
      <w:r w:rsidR="00E376D9">
        <w:t>sukuk</w:t>
      </w:r>
      <w:proofErr w:type="spellEnd"/>
      <w:r w:rsidR="00E376D9">
        <w:t xml:space="preserve"> ile ilgili eleştirilerin</w:t>
      </w:r>
      <w:r w:rsidR="002A569D">
        <w:t xml:space="preserve">, mevzuat hükümleri </w:t>
      </w:r>
      <w:r>
        <w:t>bağlamında,</w:t>
      </w:r>
      <w:r w:rsidR="00E376D9">
        <w:t xml:space="preserve"> </w:t>
      </w:r>
      <w:r w:rsidRPr="002A569D">
        <w:t>hukuksal</w:t>
      </w:r>
      <w:r>
        <w:t xml:space="preserve"> açıdan </w:t>
      </w:r>
      <w:r w:rsidR="002A569D">
        <w:t>değerlendirilmesine yöneliktir.</w:t>
      </w:r>
    </w:p>
    <w:p w:rsidR="006543B5" w:rsidRDefault="006543B5" w:rsidP="00A130BE">
      <w:r>
        <w:tab/>
      </w:r>
      <w:r w:rsidR="002A569D">
        <w:t xml:space="preserve">Mer’i mevzuat dikkate alındığında </w:t>
      </w:r>
      <w:proofErr w:type="spellStart"/>
      <w:r w:rsidR="002A569D">
        <w:t>s</w:t>
      </w:r>
      <w:r w:rsidR="009624B4">
        <w:t>ukuk</w:t>
      </w:r>
      <w:proofErr w:type="spellEnd"/>
      <w:r w:rsidR="009624B4">
        <w:t xml:space="preserve"> ilişkisinin; 1)Kaynak Kuruluş, 2)Varlık Kiralama Şirketi</w:t>
      </w:r>
      <w:r w:rsidR="000E2B0E">
        <w:t xml:space="preserve"> (VKŞ)</w:t>
      </w:r>
      <w:r w:rsidR="00C520CD">
        <w:t>, 3)Yatırımcı şeklinde</w:t>
      </w:r>
      <w:r w:rsidR="009624B4">
        <w:t xml:space="preserve"> a</w:t>
      </w:r>
      <w:r w:rsidR="002A569D">
        <w:t>sgari üç tarafının olması gerektiği anlaşılmaktadır</w:t>
      </w:r>
      <w:r w:rsidR="009624B4">
        <w:t>.</w:t>
      </w:r>
      <w:r w:rsidR="00C520CD">
        <w:t xml:space="preserve"> </w:t>
      </w:r>
      <w:r w:rsidR="005108BF">
        <w:t xml:space="preserve">Bu tarafların ilişkide üstlenmiş olduğu roller, bir veya </w:t>
      </w:r>
      <w:r w:rsidR="005108BF">
        <w:lastRenderedPageBreak/>
        <w:t xml:space="preserve">birden fazla olabilirse de taraf sayısının bu sayının altında olması halinde </w:t>
      </w:r>
      <w:proofErr w:type="spellStart"/>
      <w:r w:rsidR="005108BF">
        <w:t>sukuk</w:t>
      </w:r>
      <w:proofErr w:type="spellEnd"/>
      <w:r w:rsidR="005108BF">
        <w:t xml:space="preserve"> ilişkisinden bahsedilemez. </w:t>
      </w:r>
    </w:p>
    <w:p w:rsidR="002A569D" w:rsidRDefault="002A569D" w:rsidP="00A130BE">
      <w:r>
        <w:tab/>
      </w:r>
      <w:proofErr w:type="spellStart"/>
      <w:r>
        <w:t>Sukuk</w:t>
      </w:r>
      <w:proofErr w:type="spellEnd"/>
      <w:r>
        <w:t xml:space="preserve"> ile ilgili olarak yapılan eleştirileri </w:t>
      </w:r>
      <w:r w:rsidR="001A739E">
        <w:t xml:space="preserve">genellikle </w:t>
      </w:r>
      <w:r>
        <w:t xml:space="preserve">aşağıdaki başlıklar altında toplamak mümkündür. </w:t>
      </w:r>
      <w:r w:rsidR="001A739E">
        <w:t>Bu eleştirilerin her birini sorun olarak tanımlayı</w:t>
      </w:r>
      <w:r w:rsidR="00EB4B0E">
        <w:t>p</w:t>
      </w:r>
      <w:r w:rsidR="001A739E">
        <w:t xml:space="preserve">, hukuksal </w:t>
      </w:r>
      <w:r w:rsidR="00740B2E">
        <w:t xml:space="preserve">açıdan yapılacak </w:t>
      </w:r>
      <w:r w:rsidR="001A739E">
        <w:t>değerlendirmeleri hemen altlarına yazacağız inşallah.</w:t>
      </w:r>
    </w:p>
    <w:p w:rsidR="009A5A35" w:rsidRDefault="005108BF" w:rsidP="002A569D">
      <w:r>
        <w:tab/>
      </w:r>
      <w:r w:rsidR="002A569D">
        <w:t>1-</w:t>
      </w:r>
      <w:r>
        <w:t>Mülkiyetin nakli</w:t>
      </w:r>
      <w:r w:rsidR="002A569D">
        <w:t xml:space="preserve"> </w:t>
      </w:r>
      <w:r w:rsidR="000B3D4C">
        <w:t xml:space="preserve">ve rehin </w:t>
      </w:r>
      <w:r w:rsidR="002A569D">
        <w:t>sorunu (</w:t>
      </w:r>
      <w:r w:rsidR="009A5A35" w:rsidRPr="002A569D">
        <w:rPr>
          <w:i/>
          <w:sz w:val="20"/>
        </w:rPr>
        <w:t>varlık veya hakkı</w:t>
      </w:r>
      <w:r w:rsidR="003C271D">
        <w:rPr>
          <w:i/>
          <w:sz w:val="20"/>
        </w:rPr>
        <w:t>n</w:t>
      </w:r>
      <w:r w:rsidR="009A5A35" w:rsidRPr="002A569D">
        <w:rPr>
          <w:i/>
          <w:sz w:val="20"/>
        </w:rPr>
        <w:t xml:space="preserve"> devamlı ve kesin olarak elden çıkar</w:t>
      </w:r>
      <w:r w:rsidR="002A569D" w:rsidRPr="002A569D">
        <w:rPr>
          <w:i/>
          <w:sz w:val="20"/>
        </w:rPr>
        <w:t xml:space="preserve">ılmadığı ve yatırımcıların varlık/hak üzerindeki tasarruf yetkilerinin </w:t>
      </w:r>
      <w:r w:rsidR="001B05DD">
        <w:rPr>
          <w:i/>
          <w:sz w:val="20"/>
        </w:rPr>
        <w:t xml:space="preserve">mevzuatla </w:t>
      </w:r>
      <w:r w:rsidR="002A569D" w:rsidRPr="002A569D">
        <w:rPr>
          <w:i/>
          <w:sz w:val="20"/>
        </w:rPr>
        <w:t>kısıtlandığı vb. iddialar</w:t>
      </w:r>
      <w:r w:rsidR="002A569D">
        <w:t>)</w:t>
      </w:r>
      <w:r w:rsidR="001A739E">
        <w:t>;</w:t>
      </w:r>
    </w:p>
    <w:p w:rsidR="001E09AA" w:rsidRDefault="000E2B0E" w:rsidP="002A569D">
      <w:r>
        <w:tab/>
      </w:r>
      <w:r w:rsidR="001B05DD" w:rsidRPr="001B05DD">
        <w:t xml:space="preserve">AAOIFI </w:t>
      </w:r>
      <w:r w:rsidR="001E09AA">
        <w:t>“</w:t>
      </w:r>
      <w:proofErr w:type="spellStart"/>
      <w:r w:rsidR="001E09AA" w:rsidRPr="00670786">
        <w:rPr>
          <w:i/>
        </w:rPr>
        <w:t>Sukukun</w:t>
      </w:r>
      <w:proofErr w:type="spellEnd"/>
      <w:r w:rsidR="001E09AA" w:rsidRPr="00670786">
        <w:rPr>
          <w:i/>
        </w:rPr>
        <w:t>, yatırımcıların mülkiyetini tüm hak ve sorumluluklarıyla temsil etmesi gerekir. Bu mülkiyet, gerek İslam Hukuku kurallarına göre gerekse mer’i hukuka göre mülk edinilebilen ve alınıp satılabilen gerçek varlıklar/haklar üzerinde olmalıdır.</w:t>
      </w:r>
      <w:r w:rsidR="001E09AA">
        <w:t>”</w:t>
      </w:r>
      <w:r w:rsidR="001B05DD">
        <w:t xml:space="preserve"> demektedir.</w:t>
      </w:r>
      <w:r w:rsidR="001E09AA">
        <w:t xml:space="preserve"> </w:t>
      </w:r>
      <w:r w:rsidR="001E09AA">
        <w:rPr>
          <w:rStyle w:val="DipnotBavurusu"/>
        </w:rPr>
        <w:footnoteReference w:id="10"/>
      </w:r>
    </w:p>
    <w:p w:rsidR="00D00B02" w:rsidRDefault="000E2B0E" w:rsidP="001E09AA">
      <w:pPr>
        <w:ind w:firstLine="708"/>
      </w:pPr>
      <w:r>
        <w:t>Mer’i mevzuat</w:t>
      </w:r>
      <w:r w:rsidR="00256129">
        <w:t>ımız</w:t>
      </w:r>
      <w:r>
        <w:t xml:space="preserve"> bakımından </w:t>
      </w:r>
      <w:proofErr w:type="spellStart"/>
      <w:r>
        <w:t>sukuka</w:t>
      </w:r>
      <w:proofErr w:type="spellEnd"/>
      <w:r>
        <w:t xml:space="preserve"> konu varlık/hak</w:t>
      </w:r>
      <w:r w:rsidR="00A5018D">
        <w:t>,</w:t>
      </w:r>
      <w:r>
        <w:t xml:space="preserve"> hukuka uygun yöntemlerle </w:t>
      </w:r>
      <w:proofErr w:type="spellStart"/>
      <w:r>
        <w:t>VKŞ’ye</w:t>
      </w:r>
      <w:proofErr w:type="spellEnd"/>
      <w:r>
        <w:t xml:space="preserve"> devredilmekte</w:t>
      </w:r>
      <w:r w:rsidR="000C249C">
        <w:rPr>
          <w:rStyle w:val="DipnotBavurusu"/>
        </w:rPr>
        <w:footnoteReference w:id="11"/>
      </w:r>
      <w:r w:rsidR="007248D7">
        <w:t xml:space="preserve"> ve yatırımcılar nam ve hesabına </w:t>
      </w:r>
      <w:r w:rsidR="000C249C">
        <w:t xml:space="preserve">itfaya kadar </w:t>
      </w:r>
      <w:r w:rsidR="00670786">
        <w:t xml:space="preserve">VKŞ tarafından </w:t>
      </w:r>
      <w:r w:rsidR="007248D7">
        <w:t>muhafaza edilmektedir.</w:t>
      </w:r>
      <w:r w:rsidR="000C249C">
        <w:rPr>
          <w:rStyle w:val="DipnotBavurusu"/>
        </w:rPr>
        <w:footnoteReference w:id="12"/>
      </w:r>
      <w:r>
        <w:t xml:space="preserve"> </w:t>
      </w:r>
      <w:r w:rsidR="000C249C">
        <w:t xml:space="preserve">Dolayısıyla </w:t>
      </w:r>
      <w:r>
        <w:t>y</w:t>
      </w:r>
      <w:r w:rsidRPr="000E2B0E">
        <w:t>atırımcılar varlığa</w:t>
      </w:r>
      <w:r>
        <w:t>/hakka</w:t>
      </w:r>
      <w:r w:rsidRPr="000E2B0E">
        <w:t xml:space="preserve"> tam anlamıyla </w:t>
      </w:r>
      <w:r w:rsidR="000C249C">
        <w:t xml:space="preserve">ve hiçbir kısıtlama söz konusu olmaksızın </w:t>
      </w:r>
      <w:r w:rsidRPr="000E2B0E">
        <w:t xml:space="preserve">malik olurlar. </w:t>
      </w:r>
      <w:r w:rsidR="00462F2A">
        <w:t>Yatırımcıların m</w:t>
      </w:r>
      <w:r w:rsidRPr="000E2B0E">
        <w:t>ülkiyet hakkı</w:t>
      </w:r>
      <w:r w:rsidR="008669B3">
        <w:t>,</w:t>
      </w:r>
      <w:r w:rsidRPr="000E2B0E">
        <w:t xml:space="preserve"> </w:t>
      </w:r>
      <w:r w:rsidR="008669B3">
        <w:t xml:space="preserve">sadece </w:t>
      </w:r>
      <w:r w:rsidR="00CE0E45">
        <w:t>taraflar arasında</w:t>
      </w:r>
      <w:r w:rsidR="00462F2A">
        <w:t xml:space="preserve"> akdedilen</w:t>
      </w:r>
      <w:r w:rsidR="00CE0E45">
        <w:t xml:space="preserve"> geri alım </w:t>
      </w:r>
      <w:r w:rsidRPr="000E2B0E">
        <w:t>sözleşme</w:t>
      </w:r>
      <w:r w:rsidR="008669B3">
        <w:t>ler</w:t>
      </w:r>
      <w:r w:rsidRPr="000E2B0E">
        <w:t>i</w:t>
      </w:r>
      <w:r w:rsidR="00CE0E45">
        <w:t>y</w:t>
      </w:r>
      <w:r w:rsidRPr="000E2B0E">
        <w:t>le ve geri alım hakkı süresince</w:t>
      </w:r>
      <w:r w:rsidR="00462F2A">
        <w:t>,</w:t>
      </w:r>
      <w:r w:rsidRPr="000E2B0E">
        <w:t xml:space="preserve"> </w:t>
      </w:r>
      <w:r w:rsidR="00462F2A">
        <w:t>iradi</w:t>
      </w:r>
      <w:r w:rsidRPr="000E2B0E">
        <w:t xml:space="preserve"> olarak kısıtlanır ki, bu da </w:t>
      </w:r>
      <w:r w:rsidR="008669B3">
        <w:t xml:space="preserve">işin </w:t>
      </w:r>
      <w:r w:rsidRPr="000E2B0E">
        <w:t>doğa</w:t>
      </w:r>
      <w:r w:rsidR="008669B3">
        <w:t>sı gereğidir</w:t>
      </w:r>
      <w:r w:rsidRPr="000E2B0E">
        <w:t xml:space="preserve">. </w:t>
      </w:r>
      <w:r w:rsidR="00670786">
        <w:t>Mezkûr g</w:t>
      </w:r>
      <w:r w:rsidRPr="000E2B0E">
        <w:t xml:space="preserve">eri alım hakkı, </w:t>
      </w:r>
      <w:r w:rsidR="003F07C3">
        <w:t xml:space="preserve">mer’i hukukumuza göre </w:t>
      </w:r>
      <w:r w:rsidRPr="000E2B0E">
        <w:t>sınırlı ayn</w:t>
      </w:r>
      <w:r w:rsidR="00670786">
        <w:t>î</w:t>
      </w:r>
      <w:r w:rsidRPr="000E2B0E">
        <w:t xml:space="preserve"> haklardan</w:t>
      </w:r>
      <w:r w:rsidR="00D00B02">
        <w:t xml:space="preserve"> olup;</w:t>
      </w:r>
      <w:r w:rsidRPr="000E2B0E">
        <w:t xml:space="preserve"> hakkın sahibine sözleşme ile belirlenen süre (en fazla 10 yıl) </w:t>
      </w:r>
      <w:r w:rsidR="003F07C3" w:rsidRPr="000E2B0E">
        <w:t xml:space="preserve">içinde </w:t>
      </w:r>
      <w:r w:rsidRPr="000E2B0E">
        <w:t>varlığı geri alma hakkı verir</w:t>
      </w:r>
      <w:r w:rsidR="00D00B02">
        <w:rPr>
          <w:rStyle w:val="DipnotBavurusu"/>
        </w:rPr>
        <w:footnoteReference w:id="13"/>
      </w:r>
      <w:r w:rsidRPr="000E2B0E">
        <w:t xml:space="preserve">. Hak sahibi </w:t>
      </w:r>
      <w:r w:rsidR="00D00B02">
        <w:t xml:space="preserve">bu </w:t>
      </w:r>
      <w:r w:rsidRPr="000E2B0E">
        <w:t xml:space="preserve">süre içinde </w:t>
      </w:r>
      <w:r w:rsidR="00670786">
        <w:t xml:space="preserve">geri alım </w:t>
      </w:r>
      <w:r w:rsidRPr="000E2B0E">
        <w:t>hakkını kullanmazsa mülkiyet</w:t>
      </w:r>
      <w:r w:rsidR="003F07C3">
        <w:t>,</w:t>
      </w:r>
      <w:r w:rsidRPr="000E2B0E">
        <w:t xml:space="preserve"> yine sınırsız hale gelir ve </w:t>
      </w:r>
      <w:r w:rsidR="00D00B02">
        <w:t xml:space="preserve">malik (yatırımcılar adına VKŞ) varlık/hak üzerinde </w:t>
      </w:r>
      <w:r w:rsidRPr="000E2B0E">
        <w:t xml:space="preserve">tam </w:t>
      </w:r>
      <w:r w:rsidR="00D00B02">
        <w:t>bir tasarruf serbestisine sahip olur</w:t>
      </w:r>
      <w:r w:rsidRPr="000E2B0E">
        <w:t xml:space="preserve">. </w:t>
      </w:r>
    </w:p>
    <w:p w:rsidR="00220773" w:rsidRPr="00220773" w:rsidRDefault="00220773" w:rsidP="00210388">
      <w:pPr>
        <w:spacing w:after="0"/>
        <w:ind w:firstLine="708"/>
        <w:rPr>
          <w:i/>
        </w:rPr>
      </w:pPr>
      <w:r>
        <w:t>Bu noktada yatırımcıların devraldığı varlık/hak üzerindeki mülkiyet türünü, hukuken “</w:t>
      </w:r>
      <w:r w:rsidRPr="00220773">
        <w:rPr>
          <w:i/>
        </w:rPr>
        <w:t>elbirliği mülkiyeti</w:t>
      </w:r>
      <w:r>
        <w:t>”</w:t>
      </w:r>
      <w:r>
        <w:rPr>
          <w:rStyle w:val="DipnotBavurusu"/>
        </w:rPr>
        <w:footnoteReference w:id="14"/>
      </w:r>
      <w:r>
        <w:t xml:space="preserve"> olarak değerlendirmek </w:t>
      </w:r>
      <w:r w:rsidR="003F07C3">
        <w:t xml:space="preserve">doğru olur diye </w:t>
      </w:r>
      <w:r w:rsidR="003F07C3">
        <w:lastRenderedPageBreak/>
        <w:t>düşünüyoruz</w:t>
      </w:r>
      <w:r>
        <w:t xml:space="preserve">. Çünkü ihraç edilecek </w:t>
      </w:r>
      <w:proofErr w:type="spellStart"/>
      <w:r>
        <w:t>sukukları</w:t>
      </w:r>
      <w:proofErr w:type="spellEnd"/>
      <w:r>
        <w:t xml:space="preserve"> almak üzere bir araya gelmiş olan bir topluluk (yatırımcılar) söz konusudur ve bu yatırımcılar sermayelerini ihraç konusu varlığı/hakkı satın almak (devir almak) </w:t>
      </w:r>
      <w:r w:rsidR="003F07C3">
        <w:t xml:space="preserve">ve bunlardan getiri elde etmek </w:t>
      </w:r>
      <w:r>
        <w:t>amacıyla bir araya gelmişlerdir. Bu şekilde bir araya gelen topluluğu, pekâlâ bir adi ortaklık olarak değerlendirmek mümkün olacaktır. Zira TBK m.620 uyarınca “</w:t>
      </w:r>
      <w:r w:rsidRPr="00220773">
        <w:rPr>
          <w:i/>
        </w:rPr>
        <w:t>Adi ortaklık sözleşmesi, iki ya da daha fazla kişinin emeklerini ve mallarını ortak bir amaca erişmek üzere birleştirmeyi üstlendikleri sözleşmedir.</w:t>
      </w:r>
    </w:p>
    <w:p w:rsidR="00220773" w:rsidRDefault="00220773" w:rsidP="00210388">
      <w:r w:rsidRPr="00220773">
        <w:rPr>
          <w:i/>
        </w:rPr>
        <w:t>Bir ortaklık, kanunla düzenlenmiş ortaklıkların ayırt edici niteliklerini taşımıyorsa, bu bölüm hükümlerine tabi adi ortaklık sayılır.</w:t>
      </w:r>
      <w:r>
        <w:t>”. Bu noktada maddenin birinci fıkrasına göre adi ortaklık</w:t>
      </w:r>
      <w:r w:rsidR="00210388">
        <w:t xml:space="preserve"> nitelemesi</w:t>
      </w:r>
      <w:r>
        <w:t xml:space="preserve">, “emek unsuru” eksikliği dolayısıyla </w:t>
      </w:r>
      <w:r w:rsidR="00210388">
        <w:t>tam isabetli sayılmasa bile ikinci fıkra hükmüne göre bu topluluğu yine adi ortaklık olarak nitelemek gerekecektir diye düşünüyoruz.</w:t>
      </w:r>
      <w:r>
        <w:t xml:space="preserve"> </w:t>
      </w:r>
      <w:r w:rsidR="00210388">
        <w:t>Dolayısıyla “</w:t>
      </w:r>
      <w:r w:rsidR="00210388" w:rsidRPr="00210388">
        <w:rPr>
          <w:i/>
        </w:rPr>
        <w:t>Ortaklık için edinilen veya ortaklığa devredilen şeyler, alacaklar ve ayni haklar, ortaklık sözleşmesi çerçevesinde elbirliği hâlinde bütün ortaklara ait olur.</w:t>
      </w:r>
      <w:r w:rsidR="00210388">
        <w:t xml:space="preserve">” şeklindeki TBK m.638/1 hükmünden hareketle yatırımcıların varlığa/hakka elbirliğiyle malik oldukları söylenebilecektir. </w:t>
      </w:r>
    </w:p>
    <w:p w:rsidR="00210388" w:rsidRPr="00220773" w:rsidRDefault="00210388" w:rsidP="00210388">
      <w:r>
        <w:tab/>
        <w:t xml:space="preserve">Niçin yatırımcılar adına </w:t>
      </w:r>
      <w:proofErr w:type="spellStart"/>
      <w:r>
        <w:t>VKŞ’ye</w:t>
      </w:r>
      <w:proofErr w:type="spellEnd"/>
      <w:r>
        <w:t xml:space="preserve"> devir yapılıyor? Çünkü VKŞ, yatırımcıların (ortaklığın) malik olduğu varlığı/hakkı yönetmek ve temsil etmek üzere yatırımcılar (ortaklar) tarafından </w:t>
      </w:r>
      <w:r w:rsidR="00A5018D">
        <w:t xml:space="preserve">-mevzuatın zorunlu düzenlemesi mucibi- </w:t>
      </w:r>
      <w:r w:rsidR="00D32855">
        <w:t>ittifakla (oybirliğiyle) yetkilendirilmiş yönetici/temsilcidir</w:t>
      </w:r>
      <w:r>
        <w:t>.</w:t>
      </w:r>
      <w:r>
        <w:rPr>
          <w:rStyle w:val="DipnotBavurusu"/>
        </w:rPr>
        <w:footnoteReference w:id="15"/>
      </w:r>
      <w:r>
        <w:t xml:space="preserve"> </w:t>
      </w:r>
      <w:r w:rsidR="006E413E">
        <w:t xml:space="preserve">Onun içindir ki Kanun, </w:t>
      </w:r>
      <w:proofErr w:type="spellStart"/>
      <w:r w:rsidR="006E413E">
        <w:t>VKŞ’nin</w:t>
      </w:r>
      <w:proofErr w:type="spellEnd"/>
      <w:r w:rsidR="006E413E">
        <w:t xml:space="preserve"> yatırımcılar nam ve hesabına malik olduğu varlık/hak üzerinde yatırımcıların rızası olmadan hiçbir tasarrufta bulunamayacağını; kendi borçları için bu varlıkların haczedilemeyeceğini, </w:t>
      </w:r>
      <w:proofErr w:type="spellStart"/>
      <w:r w:rsidR="006E413E">
        <w:t>rehnedilemeyeceğini</w:t>
      </w:r>
      <w:proofErr w:type="spellEnd"/>
      <w:r w:rsidR="006E413E">
        <w:t xml:space="preserve"> vs. </w:t>
      </w:r>
      <w:r w:rsidR="00AD4148">
        <w:t xml:space="preserve">açık ve kesin bir şekilde </w:t>
      </w:r>
      <w:r w:rsidR="006E413E">
        <w:t>hükme bağlamıştır</w:t>
      </w:r>
      <w:r w:rsidR="00AD4148">
        <w:t>.</w:t>
      </w:r>
      <w:r w:rsidR="006E413E">
        <w:rPr>
          <w:rStyle w:val="DipnotBavurusu"/>
        </w:rPr>
        <w:footnoteReference w:id="16"/>
      </w:r>
      <w:r w:rsidR="003D4AE4">
        <w:t xml:space="preserve"> Yani </w:t>
      </w:r>
      <w:proofErr w:type="spellStart"/>
      <w:r w:rsidR="003D4AE4">
        <w:t>VKŞ’nin</w:t>
      </w:r>
      <w:proofErr w:type="spellEnd"/>
      <w:r w:rsidR="003D4AE4">
        <w:t xml:space="preserve"> süreçteki en önemli rolü varlığı/hakkı yatırımcılar nam ve hesabına muhafaza ve idare etmektir.</w:t>
      </w:r>
      <w:r w:rsidR="003D4AE4">
        <w:rPr>
          <w:rStyle w:val="DipnotBavurusu"/>
        </w:rPr>
        <w:footnoteReference w:id="17"/>
      </w:r>
      <w:r w:rsidR="003D4AE4">
        <w:t xml:space="preserve"> </w:t>
      </w:r>
    </w:p>
    <w:p w:rsidR="00F93E31" w:rsidRPr="00F93E31" w:rsidRDefault="006333BA" w:rsidP="00F93E31">
      <w:pPr>
        <w:ind w:firstLine="708"/>
      </w:pPr>
      <w:proofErr w:type="spellStart"/>
      <w:r w:rsidRPr="006333BA">
        <w:t>Sukuk</w:t>
      </w:r>
      <w:proofErr w:type="spellEnd"/>
      <w:r w:rsidRPr="006333BA">
        <w:t xml:space="preserve"> işlemlerinde mülkiyetin geçişine ve geri alıma ilişkin sorunları değerlendiren İslam Hukukçuları konuyu Bey‘ </w:t>
      </w:r>
      <w:proofErr w:type="spellStart"/>
      <w:r w:rsidRPr="006333BA">
        <w:t>Bi’l-Vefâ</w:t>
      </w:r>
      <w:proofErr w:type="spellEnd"/>
      <w:r w:rsidRPr="006333BA">
        <w:t xml:space="preserve"> (Bey’ Bil-</w:t>
      </w:r>
      <w:proofErr w:type="spellStart"/>
      <w:r w:rsidRPr="006333BA">
        <w:t>İstiğlâl</w:t>
      </w:r>
      <w:proofErr w:type="spellEnd"/>
      <w:r w:rsidRPr="006333BA">
        <w:t xml:space="preserve">) </w:t>
      </w:r>
      <w:r w:rsidRPr="006333BA">
        <w:lastRenderedPageBreak/>
        <w:t>çerçevesinde ele almışlardır.</w:t>
      </w:r>
      <w:r w:rsidRPr="006333BA">
        <w:rPr>
          <w:vertAlign w:val="superscript"/>
        </w:rPr>
        <w:footnoteReference w:id="18"/>
      </w:r>
      <w:r w:rsidRPr="006333BA">
        <w:t xml:space="preserve"> Bey’ Bil-</w:t>
      </w:r>
      <w:proofErr w:type="spellStart"/>
      <w:r w:rsidRPr="006333BA">
        <w:t>Vefâ</w:t>
      </w:r>
      <w:proofErr w:type="spellEnd"/>
      <w:r w:rsidRPr="006333BA">
        <w:t>; “bedeli iade edildiğinde geri alınmak üzere bir malın satılmasını konu edinen satış akdi” olarak tanımlanmıştır</w:t>
      </w:r>
      <w:r w:rsidRPr="006333BA">
        <w:rPr>
          <w:vertAlign w:val="superscript"/>
        </w:rPr>
        <w:footnoteReference w:id="19"/>
      </w:r>
      <w:r w:rsidRPr="006333BA">
        <w:t xml:space="preserve">. </w:t>
      </w:r>
      <w:r w:rsidR="00EE7DE3">
        <w:t>“</w:t>
      </w:r>
      <w:r w:rsidRPr="00EE7DE3">
        <w:rPr>
          <w:i/>
        </w:rPr>
        <w:t xml:space="preserve">Bey‘ </w:t>
      </w:r>
      <w:proofErr w:type="spellStart"/>
      <w:r w:rsidRPr="00EE7DE3">
        <w:rPr>
          <w:i/>
        </w:rPr>
        <w:t>bi’l-vefâ</w:t>
      </w:r>
      <w:proofErr w:type="spellEnd"/>
      <w:r w:rsidRPr="00EE7DE3">
        <w:rPr>
          <w:i/>
        </w:rPr>
        <w:t xml:space="preserve">, </w:t>
      </w:r>
      <w:proofErr w:type="spellStart"/>
      <w:r w:rsidRPr="00EE7DE3">
        <w:rPr>
          <w:i/>
        </w:rPr>
        <w:t>müslüman</w:t>
      </w:r>
      <w:proofErr w:type="spellEnd"/>
      <w:r w:rsidRPr="00EE7DE3">
        <w:rPr>
          <w:i/>
        </w:rPr>
        <w:t xml:space="preserve"> halkın faizsiz borç para temin etmekte karşılaştığı güçlükleri faiz sayılmayacak bir usulle ortadan kaldırmak ve sermaye sahiplerinin verdikleri krediye karşılık bir teminat ve bir kazanç elde etmelerini sağlamak gayesiyle V. (XI.) yüzyıl Hanefî fakihleri tarafından ortaya konmuş bir </w:t>
      </w:r>
      <w:proofErr w:type="spellStart"/>
      <w:r w:rsidRPr="00EE7DE3">
        <w:rPr>
          <w:i/>
        </w:rPr>
        <w:t>akid</w:t>
      </w:r>
      <w:proofErr w:type="spellEnd"/>
      <w:r w:rsidRPr="00EE7DE3">
        <w:rPr>
          <w:i/>
        </w:rPr>
        <w:t xml:space="preserve"> nevidir. Meydana gelişi ve sonuçları bakımından normal satış akdinden farklı olduğu için bu </w:t>
      </w:r>
      <w:proofErr w:type="spellStart"/>
      <w:r w:rsidRPr="00EE7DE3">
        <w:rPr>
          <w:i/>
        </w:rPr>
        <w:t>akid</w:t>
      </w:r>
      <w:proofErr w:type="spellEnd"/>
      <w:r w:rsidRPr="00EE7DE3">
        <w:rPr>
          <w:i/>
        </w:rPr>
        <w:t xml:space="preserve"> üzerinde İslâm hukukçularının değişik değerlendirmeleri söz konusudur. Bazı hukukçular bunu rehin, bazıları sahih, bazıları da </w:t>
      </w:r>
      <w:proofErr w:type="spellStart"/>
      <w:r w:rsidRPr="00EE7DE3">
        <w:rPr>
          <w:i/>
        </w:rPr>
        <w:t>fâsit</w:t>
      </w:r>
      <w:proofErr w:type="spellEnd"/>
      <w:r w:rsidRPr="00EE7DE3">
        <w:rPr>
          <w:i/>
        </w:rPr>
        <w:t xml:space="preserve"> satış akdi sayarken bir kısım fakihler de bey‘ </w:t>
      </w:r>
      <w:proofErr w:type="spellStart"/>
      <w:r w:rsidRPr="00EE7DE3">
        <w:rPr>
          <w:i/>
        </w:rPr>
        <w:t>bi’l-vefâyı</w:t>
      </w:r>
      <w:proofErr w:type="spellEnd"/>
      <w:r w:rsidRPr="00EE7DE3">
        <w:rPr>
          <w:i/>
        </w:rPr>
        <w:t xml:space="preserve"> sahih satış akdi ile rehinin, ya da rehin, sahih ve </w:t>
      </w:r>
      <w:proofErr w:type="spellStart"/>
      <w:r w:rsidRPr="00EE7DE3">
        <w:rPr>
          <w:i/>
        </w:rPr>
        <w:t>fâsit</w:t>
      </w:r>
      <w:proofErr w:type="spellEnd"/>
      <w:r w:rsidRPr="00EE7DE3">
        <w:rPr>
          <w:i/>
        </w:rPr>
        <w:t xml:space="preserve"> satış </w:t>
      </w:r>
      <w:proofErr w:type="spellStart"/>
      <w:r w:rsidRPr="00EE7DE3">
        <w:rPr>
          <w:i/>
        </w:rPr>
        <w:t>akidlerinin</w:t>
      </w:r>
      <w:proofErr w:type="spellEnd"/>
      <w:r w:rsidRPr="00EE7DE3">
        <w:rPr>
          <w:i/>
        </w:rPr>
        <w:t xml:space="preserve"> birleşmesinden meydana gelmiş bir </w:t>
      </w:r>
      <w:proofErr w:type="spellStart"/>
      <w:r w:rsidRPr="00EE7DE3">
        <w:rPr>
          <w:i/>
        </w:rPr>
        <w:t>akid</w:t>
      </w:r>
      <w:proofErr w:type="spellEnd"/>
      <w:r w:rsidRPr="00EE7DE3">
        <w:rPr>
          <w:i/>
        </w:rPr>
        <w:t xml:space="preserve"> kabul ederler</w:t>
      </w:r>
      <w:r w:rsidR="00EE7DE3">
        <w:t>”</w:t>
      </w:r>
      <w:r w:rsidRPr="006333BA">
        <w:t>.</w:t>
      </w:r>
      <w:r w:rsidRPr="006333BA">
        <w:rPr>
          <w:vertAlign w:val="superscript"/>
        </w:rPr>
        <w:footnoteReference w:id="20"/>
      </w:r>
      <w:r w:rsidR="00F93E31" w:rsidRPr="00F93E31">
        <w:t xml:space="preserve"> </w:t>
      </w:r>
      <w:r w:rsidR="00EE7DE3">
        <w:t>“</w:t>
      </w:r>
      <w:r w:rsidR="00F93E31" w:rsidRPr="00EE7DE3">
        <w:rPr>
          <w:i/>
        </w:rPr>
        <w:t xml:space="preserve">Diğer bir görüşe göre ise bey‘ </w:t>
      </w:r>
      <w:proofErr w:type="spellStart"/>
      <w:r w:rsidR="00F93E31" w:rsidRPr="00EE7DE3">
        <w:rPr>
          <w:i/>
        </w:rPr>
        <w:t>bi’l-vefâ</w:t>
      </w:r>
      <w:proofErr w:type="spellEnd"/>
      <w:r w:rsidR="00F93E31" w:rsidRPr="00EE7DE3">
        <w:rPr>
          <w:i/>
        </w:rPr>
        <w:t xml:space="preserve"> sahih satış, </w:t>
      </w:r>
      <w:proofErr w:type="spellStart"/>
      <w:r w:rsidR="00F93E31" w:rsidRPr="00EE7DE3">
        <w:rPr>
          <w:i/>
        </w:rPr>
        <w:t>fâsit</w:t>
      </w:r>
      <w:proofErr w:type="spellEnd"/>
      <w:r w:rsidR="00F93E31" w:rsidRPr="00EE7DE3">
        <w:rPr>
          <w:i/>
        </w:rPr>
        <w:t xml:space="preserve"> satış ve rehinden mürekkep bir </w:t>
      </w:r>
      <w:proofErr w:type="spellStart"/>
      <w:r w:rsidR="00F93E31" w:rsidRPr="00EE7DE3">
        <w:rPr>
          <w:i/>
        </w:rPr>
        <w:t>akiddir</w:t>
      </w:r>
      <w:proofErr w:type="spellEnd"/>
      <w:r w:rsidR="00F93E31" w:rsidRPr="00EE7DE3">
        <w:rPr>
          <w:i/>
        </w:rPr>
        <w:t xml:space="preserve">. Alıcının maldan faydalanmasına bakarak sahih satış akdi, iki tarafın fesih yetkisine sahip olmasına bakarak </w:t>
      </w:r>
      <w:proofErr w:type="spellStart"/>
      <w:r w:rsidR="00F93E31" w:rsidRPr="00EE7DE3">
        <w:rPr>
          <w:i/>
        </w:rPr>
        <w:t>fâsit</w:t>
      </w:r>
      <w:proofErr w:type="spellEnd"/>
      <w:r w:rsidR="00F93E31" w:rsidRPr="00EE7DE3">
        <w:rPr>
          <w:i/>
        </w:rPr>
        <w:t xml:space="preserve"> satış akdi ve alıcının bu malı başkasına satamamasına, telef olduğu takdirde borcun düşmesine ve malda tahribat vuku bulduğu takdirde borcun o miktar azalmasına bakarak rehin akdi hükmündedir. Bu görüşü benimseyenler bey‘ </w:t>
      </w:r>
      <w:proofErr w:type="spellStart"/>
      <w:r w:rsidR="00F93E31" w:rsidRPr="00EE7DE3">
        <w:rPr>
          <w:i/>
        </w:rPr>
        <w:t>bi’l-vefâyı</w:t>
      </w:r>
      <w:proofErr w:type="spellEnd"/>
      <w:r w:rsidR="00F93E31" w:rsidRPr="00EE7DE3">
        <w:rPr>
          <w:i/>
        </w:rPr>
        <w:t xml:space="preserve"> bu üç </w:t>
      </w:r>
      <w:proofErr w:type="spellStart"/>
      <w:r w:rsidR="00F93E31" w:rsidRPr="00EE7DE3">
        <w:rPr>
          <w:i/>
        </w:rPr>
        <w:t>akidden</w:t>
      </w:r>
      <w:proofErr w:type="spellEnd"/>
      <w:r w:rsidR="00F93E31" w:rsidRPr="00EE7DE3">
        <w:rPr>
          <w:i/>
        </w:rPr>
        <w:t xml:space="preserve"> mürekkep fakat rehin olma tarafı ağır basan bir </w:t>
      </w:r>
      <w:proofErr w:type="spellStart"/>
      <w:r w:rsidR="00F93E31" w:rsidRPr="00EE7DE3">
        <w:rPr>
          <w:i/>
        </w:rPr>
        <w:t>akid</w:t>
      </w:r>
      <w:proofErr w:type="spellEnd"/>
      <w:r w:rsidR="00F93E31" w:rsidRPr="00EE7DE3">
        <w:rPr>
          <w:i/>
        </w:rPr>
        <w:t xml:space="preserve"> saymışlardır</w:t>
      </w:r>
      <w:r w:rsidR="00EE7DE3">
        <w:t>”</w:t>
      </w:r>
      <w:r w:rsidR="00F93E31" w:rsidRPr="00F93E31">
        <w:t>.</w:t>
      </w:r>
      <w:r w:rsidR="00F93E31" w:rsidRPr="00F93E31">
        <w:rPr>
          <w:vertAlign w:val="superscript"/>
        </w:rPr>
        <w:footnoteReference w:id="21"/>
      </w:r>
    </w:p>
    <w:p w:rsidR="006333BA" w:rsidRDefault="006333BA" w:rsidP="00D00B02">
      <w:pPr>
        <w:ind w:firstLine="708"/>
      </w:pPr>
      <w:r>
        <w:t xml:space="preserve">Mecelle konuyu (bey’ </w:t>
      </w:r>
      <w:proofErr w:type="spellStart"/>
      <w:r>
        <w:t>bi’l</w:t>
      </w:r>
      <w:proofErr w:type="spellEnd"/>
      <w:r>
        <w:t xml:space="preserve"> </w:t>
      </w:r>
      <w:proofErr w:type="spellStart"/>
      <w:r>
        <w:t>vefâ</w:t>
      </w:r>
      <w:r w:rsidR="008E176E">
        <w:t>yı</w:t>
      </w:r>
      <w:proofErr w:type="spellEnd"/>
      <w:r>
        <w:t>) tamamen rehin (teslime bağlı rehin)</w:t>
      </w:r>
      <w:r w:rsidR="0056490D">
        <w:rPr>
          <w:rStyle w:val="DipnotBavurusu"/>
        </w:rPr>
        <w:footnoteReference w:id="22"/>
      </w:r>
      <w:r>
        <w:t xml:space="preserve"> hükümlerine bağlı olarak çözümlemiştir. </w:t>
      </w:r>
      <w:r w:rsidR="0056490D">
        <w:t>“</w:t>
      </w:r>
      <w:proofErr w:type="spellStart"/>
      <w:r w:rsidRPr="00EE7DE3">
        <w:rPr>
          <w:i/>
        </w:rPr>
        <w:t>Mevâdd</w:t>
      </w:r>
      <w:proofErr w:type="spellEnd"/>
      <w:r w:rsidRPr="00EE7DE3">
        <w:rPr>
          <w:i/>
        </w:rPr>
        <w:t xml:space="preserve">-ı </w:t>
      </w:r>
      <w:proofErr w:type="spellStart"/>
      <w:r w:rsidRPr="00EE7DE3">
        <w:rPr>
          <w:i/>
        </w:rPr>
        <w:t>ânife</w:t>
      </w:r>
      <w:proofErr w:type="spellEnd"/>
      <w:r w:rsidRPr="00EE7DE3">
        <w:rPr>
          <w:i/>
        </w:rPr>
        <w:t xml:space="preserve"> yani 399.</w:t>
      </w:r>
      <w:r w:rsidR="0056490D" w:rsidRPr="00EE7DE3">
        <w:rPr>
          <w:rStyle w:val="DipnotBavurusu"/>
          <w:i/>
        </w:rPr>
        <w:footnoteReference w:id="23"/>
      </w:r>
      <w:r w:rsidRPr="00EE7DE3">
        <w:rPr>
          <w:i/>
        </w:rPr>
        <w:t>, 400.</w:t>
      </w:r>
      <w:r w:rsidR="0056490D" w:rsidRPr="00EE7DE3">
        <w:rPr>
          <w:rStyle w:val="DipnotBavurusu"/>
          <w:i/>
        </w:rPr>
        <w:footnoteReference w:id="24"/>
      </w:r>
      <w:r w:rsidRPr="00EE7DE3">
        <w:rPr>
          <w:i/>
        </w:rPr>
        <w:t xml:space="preserve"> ve 401.</w:t>
      </w:r>
      <w:r w:rsidR="0056490D" w:rsidRPr="00EE7DE3">
        <w:rPr>
          <w:rStyle w:val="DipnotBavurusu"/>
          <w:i/>
        </w:rPr>
        <w:footnoteReference w:id="25"/>
      </w:r>
      <w:r w:rsidRPr="00EE7DE3">
        <w:rPr>
          <w:i/>
        </w:rPr>
        <w:t xml:space="preserve"> maddelerin ahkâmı </w:t>
      </w:r>
      <w:proofErr w:type="spellStart"/>
      <w:r w:rsidRPr="00EE7DE3">
        <w:rPr>
          <w:i/>
        </w:rPr>
        <w:t>Mecelle'</w:t>
      </w:r>
      <w:r w:rsidR="0056490D" w:rsidRPr="00EE7DE3">
        <w:rPr>
          <w:i/>
        </w:rPr>
        <w:t>nin</w:t>
      </w:r>
      <w:proofErr w:type="spellEnd"/>
      <w:r w:rsidRPr="00EE7DE3">
        <w:rPr>
          <w:i/>
        </w:rPr>
        <w:t xml:space="preserve"> </w:t>
      </w:r>
      <w:proofErr w:type="spellStart"/>
      <w:r w:rsidRPr="00EE7DE3">
        <w:rPr>
          <w:i/>
        </w:rPr>
        <w:t>kitâb</w:t>
      </w:r>
      <w:proofErr w:type="spellEnd"/>
      <w:r w:rsidRPr="00EE7DE3">
        <w:rPr>
          <w:i/>
        </w:rPr>
        <w:t xml:space="preserve">-ı </w:t>
      </w:r>
      <w:proofErr w:type="spellStart"/>
      <w:r w:rsidRPr="00EE7DE3">
        <w:rPr>
          <w:i/>
        </w:rPr>
        <w:t>hâmisinde</w:t>
      </w:r>
      <w:proofErr w:type="spellEnd"/>
      <w:r w:rsidRPr="00EE7DE3">
        <w:rPr>
          <w:i/>
        </w:rPr>
        <w:t xml:space="preserve"> </w:t>
      </w:r>
      <w:proofErr w:type="spellStart"/>
      <w:r w:rsidRPr="00EE7DE3">
        <w:rPr>
          <w:i/>
        </w:rPr>
        <w:t>beyân</w:t>
      </w:r>
      <w:proofErr w:type="spellEnd"/>
      <w:r w:rsidRPr="00EE7DE3">
        <w:rPr>
          <w:i/>
        </w:rPr>
        <w:t xml:space="preserve"> olunan </w:t>
      </w:r>
      <w:proofErr w:type="spellStart"/>
      <w:r w:rsidRPr="00EE7DE3">
        <w:rPr>
          <w:i/>
        </w:rPr>
        <w:t>âdi</w:t>
      </w:r>
      <w:proofErr w:type="spellEnd"/>
      <w:r w:rsidRPr="00EE7DE3">
        <w:rPr>
          <w:i/>
        </w:rPr>
        <w:t xml:space="preserve"> rehinlerinde dahi </w:t>
      </w:r>
      <w:proofErr w:type="spellStart"/>
      <w:r w:rsidRPr="00EE7DE3">
        <w:rPr>
          <w:i/>
        </w:rPr>
        <w:t>tamâmıyle</w:t>
      </w:r>
      <w:proofErr w:type="spellEnd"/>
      <w:r w:rsidRPr="00EE7DE3">
        <w:rPr>
          <w:i/>
        </w:rPr>
        <w:t xml:space="preserve"> </w:t>
      </w:r>
      <w:proofErr w:type="spellStart"/>
      <w:r w:rsidRPr="00EE7DE3">
        <w:rPr>
          <w:i/>
        </w:rPr>
        <w:t>cârî</w:t>
      </w:r>
      <w:proofErr w:type="spellEnd"/>
      <w:r w:rsidRPr="00EE7DE3">
        <w:rPr>
          <w:i/>
        </w:rPr>
        <w:t xml:space="preserve"> olur.</w:t>
      </w:r>
      <w:r w:rsidR="0056490D">
        <w:t>”</w:t>
      </w:r>
      <w:r w:rsidR="0056490D">
        <w:rPr>
          <w:rStyle w:val="DipnotBavurusu"/>
        </w:rPr>
        <w:footnoteReference w:id="26"/>
      </w:r>
      <w:r w:rsidR="00864278" w:rsidRPr="00864278">
        <w:t xml:space="preserve"> Ni</w:t>
      </w:r>
      <w:r w:rsidR="00EE7DE3">
        <w:t xml:space="preserve">tekim Yargıtay kararlarında da </w:t>
      </w:r>
      <w:proofErr w:type="spellStart"/>
      <w:r w:rsidR="00864278" w:rsidRPr="00864278">
        <w:t>Mecelle'ye</w:t>
      </w:r>
      <w:proofErr w:type="spellEnd"/>
      <w:r w:rsidR="00864278" w:rsidRPr="00864278">
        <w:t xml:space="preserve"> göre yapılan "</w:t>
      </w:r>
      <w:proofErr w:type="spellStart"/>
      <w:r w:rsidR="00864278" w:rsidRPr="00864278">
        <w:t>bey'i</w:t>
      </w:r>
      <w:proofErr w:type="spellEnd"/>
      <w:r w:rsidR="00864278" w:rsidRPr="00864278">
        <w:t xml:space="preserve"> </w:t>
      </w:r>
      <w:proofErr w:type="spellStart"/>
      <w:r w:rsidR="00864278" w:rsidRPr="00864278">
        <w:t>bi’l</w:t>
      </w:r>
      <w:proofErr w:type="spellEnd"/>
      <w:r w:rsidR="00864278" w:rsidRPr="00864278">
        <w:t xml:space="preserve"> </w:t>
      </w:r>
      <w:proofErr w:type="spellStart"/>
      <w:r w:rsidR="00864278" w:rsidRPr="00864278">
        <w:t>vefâ"nın</w:t>
      </w:r>
      <w:proofErr w:type="spellEnd"/>
      <w:r w:rsidR="00864278" w:rsidRPr="00864278">
        <w:t xml:space="preserve"> Medeni Kanunun ipotek hükümlerine tabi olacağı ve Medeni Kanundan sonra </w:t>
      </w:r>
      <w:r w:rsidR="00864278">
        <w:t>T</w:t>
      </w:r>
      <w:r w:rsidR="00864278" w:rsidRPr="00864278">
        <w:t>MK. m. 864 (eski MK. m. 779) uyarınca zamanaşımı işlemeyeceği ifade edilmiştir. (14. HD. 10.4.1980, 1482/2038)</w:t>
      </w:r>
      <w:r w:rsidR="00864278">
        <w:rPr>
          <w:rStyle w:val="DipnotBavurusu"/>
        </w:rPr>
        <w:footnoteReference w:id="27"/>
      </w:r>
    </w:p>
    <w:p w:rsidR="00131D98" w:rsidRDefault="007A353F" w:rsidP="00131D98">
      <w:pPr>
        <w:ind w:firstLine="708"/>
      </w:pPr>
      <w:r>
        <w:lastRenderedPageBreak/>
        <w:t>“</w:t>
      </w:r>
      <w:r w:rsidR="00131D98" w:rsidRPr="007A353F">
        <w:rPr>
          <w:i/>
        </w:rPr>
        <w:t>Bu akdin getirdiği en büyük imkân, borç veren kimseye bunun karşılığında satın almış olduğu maldan istifadeyi sağlaması, rehinin aksine bu istifadenin devamlı olması ve borç alanın sonradan bundan dönememesidir</w:t>
      </w:r>
      <w:r>
        <w:t>”</w:t>
      </w:r>
      <w:r w:rsidR="00131D98" w:rsidRPr="00131D98">
        <w:t>.</w:t>
      </w:r>
      <w:r w:rsidR="00131D98" w:rsidRPr="00131D98">
        <w:rPr>
          <w:vertAlign w:val="superscript"/>
        </w:rPr>
        <w:footnoteReference w:id="28"/>
      </w:r>
    </w:p>
    <w:p w:rsidR="00F91332" w:rsidRDefault="00F91332" w:rsidP="00F91332">
      <w:pPr>
        <w:ind w:firstLine="708"/>
      </w:pPr>
      <w:r w:rsidRPr="00F91332">
        <w:t>Bazı tartışmalarda ve değerlendirmelerde bu satışın/mülkiyet naklinin rehin/teminat</w:t>
      </w:r>
      <w:r w:rsidR="00A00A9A">
        <w:rPr>
          <w:rStyle w:val="DipnotBavurusu"/>
        </w:rPr>
        <w:footnoteReference w:id="29"/>
      </w:r>
      <w:r w:rsidRPr="00F91332">
        <w:t xml:space="preserve"> gibi değerlendirilmesi gerektiğinden hareketle eleştirilerde bulunulmaktadır ki, böyle bir varsayıma dayalı eleştirinin kabulü mümkün olmaz. Zira rehin hakkı, </w:t>
      </w:r>
      <w:proofErr w:type="spellStart"/>
      <w:r w:rsidRPr="00F91332">
        <w:t>fer’i</w:t>
      </w:r>
      <w:proofErr w:type="spellEnd"/>
      <w:r w:rsidRPr="00F91332">
        <w:t xml:space="preserve"> niteliklidir ve sahibine (alacaklıya) sadece </w:t>
      </w:r>
      <w:proofErr w:type="spellStart"/>
      <w:r w:rsidRPr="00F91332">
        <w:t>rehnin</w:t>
      </w:r>
      <w:proofErr w:type="spellEnd"/>
      <w:r w:rsidRPr="00F91332">
        <w:t xml:space="preserve"> paraya </w:t>
      </w:r>
      <w:r w:rsidR="00321D3F">
        <w:t>çevrilmesini isteme hakkı verir</w:t>
      </w:r>
      <w:r w:rsidRPr="00F91332">
        <w:rPr>
          <w:vertAlign w:val="superscript"/>
        </w:rPr>
        <w:footnoteReference w:id="30"/>
      </w:r>
      <w:r w:rsidRPr="00F91332">
        <w:t xml:space="preserve">. Yine rehin hakkı sahibi (alacaklı) </w:t>
      </w:r>
      <w:proofErr w:type="spellStart"/>
      <w:r w:rsidRPr="00F91332">
        <w:t>rehni</w:t>
      </w:r>
      <w:proofErr w:type="spellEnd"/>
      <w:r w:rsidRPr="00F91332">
        <w:t xml:space="preserve"> paraya çevirtip, alacağını aldıktan sonra artan bir bedel olursa, o bedeli rehin verene (borçluya) iade etmekle mükellef olduğu gibi, eğer paraya çevirme sonucu alacak tam olarak karşılanmamış ise bakiye kısım için borçlunun diğer mallarına müracaat edebilir</w:t>
      </w:r>
      <w:r w:rsidRPr="00F91332">
        <w:rPr>
          <w:vertAlign w:val="superscript"/>
        </w:rPr>
        <w:footnoteReference w:id="31"/>
      </w:r>
      <w:r w:rsidRPr="00F91332">
        <w:t>. Son olarak “</w:t>
      </w:r>
      <w:r w:rsidRPr="00F91332">
        <w:rPr>
          <w:i/>
        </w:rPr>
        <w:t>borcun ödenmemesi halinde rehinli taşınırın mülkiyetinin alacaklıya geçmesini öngören rehin sözleşmesi hükmü geçersizdir</w:t>
      </w:r>
      <w:r w:rsidRPr="00F91332">
        <w:t>”</w:t>
      </w:r>
      <w:r w:rsidRPr="00F91332">
        <w:rPr>
          <w:vertAlign w:val="superscript"/>
        </w:rPr>
        <w:footnoteReference w:id="32"/>
      </w:r>
      <w:r w:rsidRPr="00F91332">
        <w:t xml:space="preserve">, rehin hukukunun en temel prensibi ve ayırıcı unsuru olarak bilinen bu kural, alacaklının </w:t>
      </w:r>
      <w:proofErr w:type="spellStart"/>
      <w:r w:rsidRPr="00F91332">
        <w:t>merhunu</w:t>
      </w:r>
      <w:proofErr w:type="spellEnd"/>
      <w:r w:rsidRPr="00F91332">
        <w:t xml:space="preserve"> mülk edinememesidir (</w:t>
      </w:r>
      <w:proofErr w:type="spellStart"/>
      <w:r w:rsidRPr="00F91332">
        <w:t>lex</w:t>
      </w:r>
      <w:proofErr w:type="spellEnd"/>
      <w:r w:rsidRPr="00F91332">
        <w:t xml:space="preserve"> </w:t>
      </w:r>
      <w:proofErr w:type="spellStart"/>
      <w:r w:rsidRPr="00F91332">
        <w:t>commissoria</w:t>
      </w:r>
      <w:proofErr w:type="spellEnd"/>
      <w:r w:rsidRPr="00F91332">
        <w:t xml:space="preserve"> yasağı). Oysa </w:t>
      </w:r>
      <w:proofErr w:type="spellStart"/>
      <w:r w:rsidRPr="00F91332">
        <w:t>sukuk</w:t>
      </w:r>
      <w:proofErr w:type="spellEnd"/>
      <w:r w:rsidRPr="00F91332">
        <w:t xml:space="preserve"> yoluyla yatırımcılara intikal eden varlıklarda/haklarda böyle bir durum söz konusu değildir; paraya çevirmenin sonucundaki kâr/zarar yatırımcılara aittir. Çünkü mülkiyet hakkı (geri alım taahhüdü ile hak sahibine belli bir süre ile sınırlı olarak tanınan sınırlı ayni hak dışında)</w:t>
      </w:r>
      <w:r w:rsidRPr="00F91332">
        <w:rPr>
          <w:vertAlign w:val="superscript"/>
        </w:rPr>
        <w:footnoteReference w:id="33"/>
      </w:r>
      <w:r w:rsidRPr="00F91332">
        <w:t xml:space="preserve"> hiçbir sınırlamaya tabi değildir. </w:t>
      </w:r>
    </w:p>
    <w:p w:rsidR="00F91332" w:rsidRDefault="00F91332" w:rsidP="00F91332">
      <w:pPr>
        <w:ind w:firstLine="708"/>
      </w:pPr>
      <w:r>
        <w:t>Kanımızca bu sorunun çözümlenmesi bakımından, gerek mevzuat ve gerekse sözleşme ilişkileri bakımından şu hususlar</w:t>
      </w:r>
      <w:r w:rsidR="008E176E">
        <w:t xml:space="preserve"> n</w:t>
      </w:r>
      <w:r>
        <w:t>a</w:t>
      </w:r>
      <w:r w:rsidR="008E176E">
        <w:t>zara</w:t>
      </w:r>
      <w:r>
        <w:t xml:space="preserve"> </w:t>
      </w:r>
      <w:r w:rsidR="008E176E">
        <w:t>alın</w:t>
      </w:r>
      <w:r>
        <w:t xml:space="preserve">arak değerlendirme yapılması </w:t>
      </w:r>
      <w:r w:rsidR="00F93E31">
        <w:t>doğru olacaktır</w:t>
      </w:r>
      <w:r>
        <w:t xml:space="preserve">: Geri alım hakkı kullanılmadığı veya kullanılamadığı durumda </w:t>
      </w:r>
      <w:r w:rsidR="008626A1">
        <w:t>i</w:t>
      </w:r>
      <w:r>
        <w:t>)</w:t>
      </w:r>
      <w:r w:rsidR="008626A1">
        <w:t xml:space="preserve"> </w:t>
      </w:r>
      <w:r>
        <w:t>alıcı</w:t>
      </w:r>
      <w:r w:rsidR="00F93E31">
        <w:t>nın</w:t>
      </w:r>
      <w:r>
        <w:t xml:space="preserve"> (yatırımcılar</w:t>
      </w:r>
      <w:r w:rsidR="00F93E31">
        <w:t>ın</w:t>
      </w:r>
      <w:r>
        <w:t>), ihraca konu varlığı/hakkı mülk edin</w:t>
      </w:r>
      <w:r w:rsidR="00F93E31">
        <w:t>mesi yasaklanıyor mu</w:t>
      </w:r>
      <w:proofErr w:type="gramStart"/>
      <w:r>
        <w:t>?</w:t>
      </w:r>
      <w:r w:rsidR="008626A1">
        <w:t>;</w:t>
      </w:r>
      <w:proofErr w:type="gramEnd"/>
      <w:r>
        <w:t xml:space="preserve"> </w:t>
      </w:r>
      <w:r w:rsidR="008626A1">
        <w:t>ii</w:t>
      </w:r>
      <w:r>
        <w:t>)</w:t>
      </w:r>
      <w:r w:rsidR="008626A1">
        <w:t xml:space="preserve"> </w:t>
      </w:r>
      <w:r>
        <w:t xml:space="preserve">alıcı </w:t>
      </w:r>
      <w:r w:rsidRPr="00F91332">
        <w:t>ihraca konu varlığı/hakkı</w:t>
      </w:r>
      <w:r>
        <w:t xml:space="preserve"> paraya çevirdiğinde fazla tutar kalırsa satıcıya (kaynak kuruluşa) iade ediyor mu?</w:t>
      </w:r>
      <w:r w:rsidR="008626A1">
        <w:t>;</w:t>
      </w:r>
      <w:r>
        <w:t xml:space="preserve"> </w:t>
      </w:r>
      <w:r w:rsidR="008626A1">
        <w:t>iii</w:t>
      </w:r>
      <w:r>
        <w:t>)</w:t>
      </w:r>
      <w:r w:rsidR="008626A1">
        <w:t xml:space="preserve"> </w:t>
      </w:r>
      <w:r>
        <w:t>alıcı</w:t>
      </w:r>
      <w:r w:rsidRPr="00F91332">
        <w:t xml:space="preserve"> ihraca konu varlığı/hakkı paraya çevirdiğinde </w:t>
      </w:r>
      <w:r>
        <w:t>eksik</w:t>
      </w:r>
      <w:r w:rsidRPr="00F91332">
        <w:t xml:space="preserve"> tutar kalırsa</w:t>
      </w:r>
      <w:r>
        <w:t xml:space="preserve"> satıcının</w:t>
      </w:r>
      <w:r w:rsidRPr="00F91332">
        <w:t xml:space="preserve"> (kaynak kuruluş</w:t>
      </w:r>
      <w:r>
        <w:t>un</w:t>
      </w:r>
      <w:r w:rsidRPr="00F91332">
        <w:t xml:space="preserve">) </w:t>
      </w:r>
      <w:r>
        <w:t>diğer malvarlığına (teminatlarına) müracaat edebiliyor mu</w:t>
      </w:r>
      <w:r w:rsidRPr="00F91332">
        <w:t>?</w:t>
      </w:r>
      <w:r>
        <w:t xml:space="preserve"> Bu soruların cevabı “evet”</w:t>
      </w:r>
      <w:r w:rsidR="0024426F">
        <w:t xml:space="preserve"> ise, o ilişkiye tartışmasız olarak rehin hükümlerini uygulamak gerekir. </w:t>
      </w:r>
      <w:r w:rsidR="0024426F">
        <w:lastRenderedPageBreak/>
        <w:t xml:space="preserve">Şayet soruların cevabı “hayır” ise bu durumda rehin hükümleri uygulanamaz, satış hükümlerini uygulayarak sorunu çözmek gerekir. </w:t>
      </w:r>
    </w:p>
    <w:p w:rsidR="005C51EC" w:rsidRDefault="005C51EC" w:rsidP="00F91332">
      <w:pPr>
        <w:ind w:firstLine="708"/>
      </w:pPr>
      <w:r>
        <w:t>Uygulamada geri alım hakkının, “devir alma taahhüdü” veya “geri alım taahhüdü” şeklindeki satıcı (kaynak kuruluş) vaadi ile gerçekleştirildiği görülmektedir ki, kanımızca bu husus düzeltilmesi gereken bir hata (hukuka aykırılık) olarak görünmektedir. Zira “geri alım taahhüdü”, “geri alım hakkı sözleşmesi” ile aynı şey olmadığı gibi, aynı sonuçları da doğurmaz. Islah edilmesi gereken bir husus olarak eleştiri konusu edilebileceği düşüncesindeyiz.</w:t>
      </w:r>
    </w:p>
    <w:p w:rsidR="00F91332" w:rsidRDefault="005C51EC" w:rsidP="00131D98">
      <w:pPr>
        <w:ind w:firstLine="708"/>
      </w:pPr>
      <w:r>
        <w:t xml:space="preserve">Bu sorun bakımından </w:t>
      </w:r>
      <w:proofErr w:type="spellStart"/>
      <w:r w:rsidR="00354C9D">
        <w:t>Sukuk</w:t>
      </w:r>
      <w:proofErr w:type="spellEnd"/>
      <w:r w:rsidR="00354C9D">
        <w:t xml:space="preserve">, mülkiyetin naklini ve satış sözleşmesini sorunsuz biçimde gerçekleştiriyor olmakla, </w:t>
      </w:r>
      <w:r>
        <w:t xml:space="preserve">gerek İslam hukuku ve gerekse mer’i hukuk bakımından </w:t>
      </w:r>
      <w:r w:rsidR="00354C9D" w:rsidRPr="00354C9D">
        <w:t xml:space="preserve">Bey‘ </w:t>
      </w:r>
      <w:proofErr w:type="spellStart"/>
      <w:r w:rsidR="00354C9D" w:rsidRPr="00354C9D">
        <w:t>Bi’l-Vefâ</w:t>
      </w:r>
      <w:proofErr w:type="spellEnd"/>
      <w:r w:rsidR="00354C9D" w:rsidRPr="00354C9D">
        <w:t xml:space="preserve"> (Bey’ Bil-</w:t>
      </w:r>
      <w:proofErr w:type="spellStart"/>
      <w:r w:rsidR="00354C9D" w:rsidRPr="00354C9D">
        <w:t>İstiğlâl</w:t>
      </w:r>
      <w:proofErr w:type="spellEnd"/>
      <w:r w:rsidR="00354C9D" w:rsidRPr="00354C9D">
        <w:t>)</w:t>
      </w:r>
      <w:r w:rsidR="00354C9D">
        <w:t xml:space="preserve"> sözleşmelerinden çok daha gelişmiş </w:t>
      </w:r>
      <w:r>
        <w:t>bir hukuki müessese olduğu kanısındayız.</w:t>
      </w:r>
    </w:p>
    <w:p w:rsidR="005C51EC" w:rsidRPr="00131D98" w:rsidRDefault="005C51EC" w:rsidP="00131D98">
      <w:pPr>
        <w:ind w:firstLine="708"/>
      </w:pPr>
    </w:p>
    <w:p w:rsidR="009A5A35" w:rsidRDefault="009A5A35" w:rsidP="00A130BE">
      <w:r>
        <w:tab/>
      </w:r>
      <w:r w:rsidR="001A739E">
        <w:t>2-N</w:t>
      </w:r>
      <w:r>
        <w:t>ominal (</w:t>
      </w:r>
      <w:r w:rsidRPr="001A739E">
        <w:rPr>
          <w:i/>
        </w:rPr>
        <w:t>itibari/başlangıçtaki/üzeri</w:t>
      </w:r>
      <w:r w:rsidR="001A739E">
        <w:t>) değerden geri alım taahhüdü sorunu;</w:t>
      </w:r>
    </w:p>
    <w:p w:rsidR="00D710FD" w:rsidRDefault="00D710FD" w:rsidP="00A130BE">
      <w:r>
        <w:tab/>
      </w:r>
      <w:proofErr w:type="spellStart"/>
      <w:r w:rsidR="00296E5A">
        <w:t>Sukuka</w:t>
      </w:r>
      <w:proofErr w:type="spellEnd"/>
      <w:r w:rsidR="00296E5A">
        <w:t xml:space="preserve"> konu varlıkların/hakların nominal değerden geri alınmasına ilişkin olarak mer’i mevzuatta herhangi bir hüküm mevcut değildir. Geri alım hakkı, Tebliğ’de sadece m.5/4 de</w:t>
      </w:r>
      <w:r w:rsidR="00296E5A">
        <w:rPr>
          <w:rStyle w:val="DipnotBavurusu"/>
        </w:rPr>
        <w:footnoteReference w:id="34"/>
      </w:r>
      <w:r w:rsidR="008E176E">
        <w:t xml:space="preserve"> </w:t>
      </w:r>
      <w:r w:rsidR="00296E5A">
        <w:t xml:space="preserve">genel bir esas olarak ve kaynak kuruluşun şerh verdirmek istemesi halinde tapu muameleleri bakımından kolaylık olması gerekçesiyle düzenlenmiştir. İlgilisinin malumu olduğu üzere, tapu muameleleri istisnalar dışında, “malikin talebi” ile başlamaktadır. Bu esastan hareketle, şerh başvurusunun </w:t>
      </w:r>
      <w:proofErr w:type="spellStart"/>
      <w:r w:rsidR="00296E5A">
        <w:t>sukuk</w:t>
      </w:r>
      <w:proofErr w:type="spellEnd"/>
      <w:r w:rsidR="00296E5A">
        <w:t xml:space="preserve"> sahipleri adına mülkiyeti elinde bulunduran VKŞ tarafından yapılması gerekir, fakat </w:t>
      </w:r>
      <w:proofErr w:type="spellStart"/>
      <w:r w:rsidR="00296E5A">
        <w:t>VKŞ’nin</w:t>
      </w:r>
      <w:proofErr w:type="spellEnd"/>
      <w:r w:rsidR="00296E5A">
        <w:t xml:space="preserve"> bu kabil kısıtlamalarda bulunamayacağı Kanun ve Tebliğ’de açıkça belirtilmiştir. Satış sözleşmesinde böyle bir hüküm ilavesi de mümkün değildir, çünkü </w:t>
      </w:r>
      <w:r w:rsidR="00524FEC">
        <w:t>şarta bağlı taşınmaz satımı mümkün değildir. (TBK m.243/</w:t>
      </w:r>
      <w:proofErr w:type="spellStart"/>
      <w:r w:rsidR="00524FEC">
        <w:t>eBK</w:t>
      </w:r>
      <w:proofErr w:type="spellEnd"/>
      <w:r w:rsidR="00524FEC">
        <w:t xml:space="preserve"> m.214)</w:t>
      </w:r>
      <w:r w:rsidR="00524FEC">
        <w:rPr>
          <w:rStyle w:val="DipnotBavurusu"/>
        </w:rPr>
        <w:footnoteReference w:id="35"/>
      </w:r>
      <w:r w:rsidR="00524FEC">
        <w:t xml:space="preserve"> </w:t>
      </w:r>
      <w:r w:rsidR="00296E5A">
        <w:t>Bütün yatırımcıların onayını alma imkânı da olamayacağı için</w:t>
      </w:r>
      <w:r w:rsidR="00524FEC">
        <w:t xml:space="preserve">, kanun koyucu </w:t>
      </w:r>
      <w:r w:rsidR="00306B57">
        <w:t xml:space="preserve">bu hükümle, geri alıma ilişkin </w:t>
      </w:r>
      <w:r w:rsidR="00524FEC">
        <w:t xml:space="preserve">tapu muamelelerini tek taraflı </w:t>
      </w:r>
      <w:r w:rsidR="00306B57">
        <w:t xml:space="preserve">iradesiyle </w:t>
      </w:r>
      <w:r w:rsidR="00524FEC">
        <w:t>başlatabilmesi için</w:t>
      </w:r>
      <w:r w:rsidR="00296E5A">
        <w:t xml:space="preserve"> kaynak kuruluş</w:t>
      </w:r>
      <w:r w:rsidR="00524FEC">
        <w:t>a bir hak bahşetmiştir.</w:t>
      </w:r>
    </w:p>
    <w:p w:rsidR="00EA5822" w:rsidRDefault="00EA5822" w:rsidP="00EA5822">
      <w:r>
        <w:lastRenderedPageBreak/>
        <w:tab/>
        <w:t xml:space="preserve">Geri alım hakkının hukuki </w:t>
      </w:r>
      <w:r w:rsidR="008E176E">
        <w:t>niteliği; g</w:t>
      </w:r>
      <w:r>
        <w:t>eri alım hakkı, bir taşınmazın satıcısına tanınmış bir çeşit alım hakkı niteliğindedir.</w:t>
      </w:r>
      <w:r>
        <w:rPr>
          <w:rStyle w:val="DipnotBavurusu"/>
        </w:rPr>
        <w:footnoteReference w:id="36"/>
      </w:r>
      <w:r>
        <w:t xml:space="preserve"> Şöyle ki, geri alım hakkının kullanılması üzerine, hak sahibi ile muhatap arasında geri alım sözleşmesindeki şartlara göre bir satış ilişkisi doğar. Muhatap taşınmazın mülkiyetini geri alım hakkı sahibine devretmek, geri alım hakkı sahibi de geri alım anlaşmasında belirtilen bedeli karşı tarafa ödemek borcu altına girer.</w:t>
      </w:r>
      <w:r>
        <w:rPr>
          <w:rStyle w:val="DipnotBavurusu"/>
        </w:rPr>
        <w:footnoteReference w:id="37"/>
      </w:r>
    </w:p>
    <w:p w:rsidR="00DA26F7" w:rsidRDefault="00792E9B" w:rsidP="00EA5822">
      <w:r>
        <w:tab/>
      </w:r>
      <w:proofErr w:type="spellStart"/>
      <w:r>
        <w:t>Sukuk</w:t>
      </w:r>
      <w:proofErr w:type="spellEnd"/>
      <w:r>
        <w:t xml:space="preserve"> ilişkisi içerisinde geri alım hakkı, </w:t>
      </w:r>
      <w:r w:rsidR="00945685">
        <w:t>kaynak kuruluş tarafından yatırımcılara hitaben verilen geri alım taahhüdü şeklinde tezahür etmekte ve sözleşme ekleriyle düzenlenmektedir. Taşınmaz devirlerinde ise yukarıda anlatıldığı şekilde Tebliğ hükmüne istinaden şerh istenebilmektedir.</w:t>
      </w:r>
      <w:r w:rsidR="00DB2AEC">
        <w:t xml:space="preserve"> Taraflar bu akdi ilişkide genellikle geri alım hakkının nominal değerden/bedelden gerçekleşeceğini kararlaştırmaktadırlar. </w:t>
      </w:r>
    </w:p>
    <w:p w:rsidR="00DB2AEC" w:rsidRDefault="00DB2AEC" w:rsidP="00DB2AEC">
      <w:r>
        <w:tab/>
        <w:t xml:space="preserve">AAOIFI 2003 </w:t>
      </w:r>
      <w:r w:rsidR="008A455D">
        <w:t>tarihli</w:t>
      </w:r>
      <w:r>
        <w:t xml:space="preserve"> standartlarında konuyu “</w:t>
      </w:r>
      <w:r w:rsidRPr="008A455D">
        <w:rPr>
          <w:i/>
        </w:rPr>
        <w:t xml:space="preserve">İkincil piyasalarda işlem görmesi caiz olan </w:t>
      </w:r>
      <w:proofErr w:type="spellStart"/>
      <w:r w:rsidRPr="008A455D">
        <w:rPr>
          <w:i/>
        </w:rPr>
        <w:t>sukuk</w:t>
      </w:r>
      <w:proofErr w:type="spellEnd"/>
      <w:r w:rsidRPr="008A455D">
        <w:rPr>
          <w:i/>
        </w:rPr>
        <w:t xml:space="preserve"> türlerini ihraç</w:t>
      </w:r>
      <w:r w:rsidR="008A455D" w:rsidRPr="008A455D">
        <w:rPr>
          <w:i/>
        </w:rPr>
        <w:t xml:space="preserve"> </w:t>
      </w:r>
      <w:r w:rsidRPr="008A455D">
        <w:rPr>
          <w:i/>
        </w:rPr>
        <w:t xml:space="preserve">eden tarafın </w:t>
      </w:r>
      <w:proofErr w:type="spellStart"/>
      <w:r w:rsidRPr="008A455D">
        <w:rPr>
          <w:i/>
        </w:rPr>
        <w:t>izahnamede</w:t>
      </w:r>
      <w:proofErr w:type="spellEnd"/>
      <w:r w:rsidRPr="008A455D">
        <w:rPr>
          <w:i/>
        </w:rPr>
        <w:t>, ihraç tamamlandıktan sonra kendisine arz</w:t>
      </w:r>
      <w:r w:rsidR="008A455D" w:rsidRPr="008A455D">
        <w:rPr>
          <w:i/>
        </w:rPr>
        <w:t xml:space="preserve"> </w:t>
      </w:r>
      <w:r w:rsidRPr="008A455D">
        <w:rPr>
          <w:i/>
        </w:rPr>
        <w:t>edilecek ser</w:t>
      </w:r>
      <w:r w:rsidR="008A455D" w:rsidRPr="008A455D">
        <w:rPr>
          <w:i/>
        </w:rPr>
        <w:t>tifikaları piyasa değeri ile ger</w:t>
      </w:r>
      <w:r w:rsidRPr="008A455D">
        <w:rPr>
          <w:i/>
        </w:rPr>
        <w:t>i satın almayı taahhüt etmesi</w:t>
      </w:r>
      <w:r w:rsidR="008A455D" w:rsidRPr="008A455D">
        <w:rPr>
          <w:i/>
        </w:rPr>
        <w:t xml:space="preserve"> </w:t>
      </w:r>
      <w:r w:rsidRPr="008A455D">
        <w:rPr>
          <w:i/>
        </w:rPr>
        <w:t>caizdir. Ancak sertifikanın nominal değeri ile geri satın alınacağı vaadinde</w:t>
      </w:r>
      <w:r w:rsidR="008A455D" w:rsidRPr="008A455D">
        <w:rPr>
          <w:i/>
        </w:rPr>
        <w:t xml:space="preserve"> </w:t>
      </w:r>
      <w:r w:rsidRPr="008A455D">
        <w:rPr>
          <w:i/>
        </w:rPr>
        <w:t>bulunmak caiz değildir</w:t>
      </w:r>
      <w:r w:rsidR="008A455D">
        <w:t>.” (17 no.lu Standart m.5/2/2) şeklinde karara bağlamışken, 2008 tarihli tavsiye kararlarında konuyu oldukça ayrıntılı ele almış, ihraç şekli, taraf sıfatları dikkate alınarak şu şekilde ayrıntılı kararlar almıştır:</w:t>
      </w:r>
    </w:p>
    <w:p w:rsidR="008A455D" w:rsidRDefault="008A455D" w:rsidP="008A455D">
      <w:r>
        <w:tab/>
        <w:t>“</w:t>
      </w:r>
      <w:r w:rsidRPr="008A455D">
        <w:rPr>
          <w:i/>
        </w:rPr>
        <w:t xml:space="preserve">Emek sahibi girişimci ortağın veya </w:t>
      </w:r>
      <w:proofErr w:type="spellStart"/>
      <w:r w:rsidRPr="008A455D">
        <w:rPr>
          <w:i/>
        </w:rPr>
        <w:t>müşâreke</w:t>
      </w:r>
      <w:proofErr w:type="spellEnd"/>
      <w:r w:rsidRPr="008A455D">
        <w:rPr>
          <w:i/>
        </w:rPr>
        <w:t xml:space="preserve"> akdi ortağının ya da yatırım vekaleti yöntemiyle yatırımı yöneten tarafın </w:t>
      </w:r>
      <w:proofErr w:type="spellStart"/>
      <w:r w:rsidRPr="008A455D">
        <w:rPr>
          <w:i/>
        </w:rPr>
        <w:t>sukuk</w:t>
      </w:r>
      <w:proofErr w:type="spellEnd"/>
      <w:r w:rsidRPr="008A455D">
        <w:rPr>
          <w:i/>
        </w:rPr>
        <w:t xml:space="preserve"> konusu varlıkları </w:t>
      </w:r>
      <w:proofErr w:type="spellStart"/>
      <w:r w:rsidRPr="008A455D">
        <w:rPr>
          <w:i/>
        </w:rPr>
        <w:t>sukuk</w:t>
      </w:r>
      <w:proofErr w:type="spellEnd"/>
      <w:r w:rsidRPr="008A455D">
        <w:rPr>
          <w:i/>
        </w:rPr>
        <w:t xml:space="preserve"> vadesinin biteceği itfa tarihinde sertifika sahiplerinden veya onları temsil eden kuruluşlardan </w:t>
      </w:r>
      <w:proofErr w:type="gramStart"/>
      <w:r w:rsidRPr="008A455D">
        <w:rPr>
          <w:i/>
        </w:rPr>
        <w:t>nominal</w:t>
      </w:r>
      <w:proofErr w:type="gramEnd"/>
      <w:r w:rsidRPr="008A455D">
        <w:rPr>
          <w:i/>
        </w:rPr>
        <w:t xml:space="preserve"> değeri ile geri alacağını taahhüt etmesi caiz değildir. Ancak ilgili varlıkları söz konusu tarihte net değeri, piyasa değeri, uzman bilirkişilerin belirlediği adil bir fiyat veya tarafların üzerinde anlaşacakları bir fiyat ile geri alma taahhüdünde bulunmak caizdir. Bu konuda, </w:t>
      </w:r>
      <w:proofErr w:type="spellStart"/>
      <w:r w:rsidRPr="008A455D">
        <w:rPr>
          <w:i/>
        </w:rPr>
        <w:t>müşâreke</w:t>
      </w:r>
      <w:proofErr w:type="spellEnd"/>
      <w:r w:rsidRPr="008A455D">
        <w:rPr>
          <w:i/>
        </w:rPr>
        <w:t xml:space="preserve"> ortaklığı ve modern ortaklık türleriyle ilgili olarak hazırlanan 12 numaralı standardın 3/1/6/2 bendi ile garantiler / teminatlarla ilgili olarak hazırlanan 5 numaralı standardın 2/2/1 ve 2/2/2 bentleri dikkate alınmalıdır. Bununla birlikte bilinmesi gereken önemli bir husus da </w:t>
      </w:r>
      <w:proofErr w:type="spellStart"/>
      <w:r w:rsidRPr="008A455D">
        <w:rPr>
          <w:i/>
        </w:rPr>
        <w:t>sukuk</w:t>
      </w:r>
      <w:proofErr w:type="spellEnd"/>
      <w:r w:rsidRPr="008A455D">
        <w:rPr>
          <w:i/>
        </w:rPr>
        <w:t xml:space="preserve"> yöneticisinin (emek sahibi girişimci ortak veya </w:t>
      </w:r>
      <w:proofErr w:type="spellStart"/>
      <w:r w:rsidRPr="008A455D">
        <w:rPr>
          <w:i/>
        </w:rPr>
        <w:t>müşâreke</w:t>
      </w:r>
      <w:proofErr w:type="spellEnd"/>
      <w:r w:rsidRPr="008A455D">
        <w:rPr>
          <w:i/>
        </w:rPr>
        <w:t xml:space="preserve"> akdi ortağı ya da ücretli vekil) kasıt veya kusur halleri ile şartlara muhalefet durumunda sermayeyi nominal değer esas alınarak tazmin etmekle yükümlü olacağıdır. Fakat </w:t>
      </w:r>
      <w:proofErr w:type="spellStart"/>
      <w:r w:rsidRPr="008A455D">
        <w:rPr>
          <w:i/>
        </w:rPr>
        <w:t>müşâreke</w:t>
      </w:r>
      <w:proofErr w:type="spellEnd"/>
      <w:r w:rsidRPr="008A455D">
        <w:rPr>
          <w:i/>
        </w:rPr>
        <w:t xml:space="preserve">, </w:t>
      </w:r>
      <w:proofErr w:type="spellStart"/>
      <w:r w:rsidRPr="008A455D">
        <w:rPr>
          <w:i/>
        </w:rPr>
        <w:t>mudârabe</w:t>
      </w:r>
      <w:proofErr w:type="spellEnd"/>
      <w:r w:rsidRPr="008A455D">
        <w:rPr>
          <w:i/>
        </w:rPr>
        <w:t xml:space="preserve"> veya ücretli </w:t>
      </w:r>
      <w:proofErr w:type="gramStart"/>
      <w:r w:rsidRPr="008A455D">
        <w:rPr>
          <w:i/>
        </w:rPr>
        <w:t>vekalet</w:t>
      </w:r>
      <w:proofErr w:type="gramEnd"/>
      <w:r w:rsidRPr="008A455D">
        <w:rPr>
          <w:i/>
        </w:rPr>
        <w:t xml:space="preserve"> akitlerine dayalı olarak menkulleştirilen varlıklar eğer mülkiyetin devri ile sona eren kiralama akdine (finansal kiralama / leasing) konu olmuş varlıklardan ibaret ise </w:t>
      </w:r>
      <w:r w:rsidRPr="008A455D">
        <w:rPr>
          <w:i/>
        </w:rPr>
        <w:lastRenderedPageBreak/>
        <w:t xml:space="preserve">bu durumda </w:t>
      </w:r>
      <w:proofErr w:type="spellStart"/>
      <w:r w:rsidRPr="008A455D">
        <w:rPr>
          <w:i/>
        </w:rPr>
        <w:t>sukuk</w:t>
      </w:r>
      <w:proofErr w:type="spellEnd"/>
      <w:r w:rsidRPr="008A455D">
        <w:rPr>
          <w:i/>
        </w:rPr>
        <w:t xml:space="preserve"> yöneticisinin ilgili varlıkların tamamını </w:t>
      </w:r>
      <w:proofErr w:type="spellStart"/>
      <w:r w:rsidRPr="008A455D">
        <w:rPr>
          <w:i/>
        </w:rPr>
        <w:t>sukuk</w:t>
      </w:r>
      <w:proofErr w:type="spellEnd"/>
      <w:r w:rsidRPr="008A455D">
        <w:rPr>
          <w:i/>
        </w:rPr>
        <w:t xml:space="preserve"> vadesinin biteceği itfa tarihinde geriye kalan taksit tutarı ile geri alacağını taahhüt etmesi caizdir. Çünkü bu durumda söz konusu tutarın, varlıkların net değerini gösterdiği kabul edilecektir.</w:t>
      </w:r>
      <w:r>
        <w:t>”</w:t>
      </w:r>
      <w:r>
        <w:rPr>
          <w:rStyle w:val="DipnotBavurusu"/>
        </w:rPr>
        <w:footnoteReference w:id="38"/>
      </w:r>
    </w:p>
    <w:p w:rsidR="00E24DD2" w:rsidRDefault="00E24DD2" w:rsidP="00E24DD2">
      <w:pPr>
        <w:ind w:firstLine="708"/>
      </w:pPr>
      <w:r>
        <w:t>“</w:t>
      </w:r>
      <w:r w:rsidR="008A455D" w:rsidRPr="00E24DD2">
        <w:rPr>
          <w:i/>
        </w:rPr>
        <w:t>Emek sahibi girişimci ortak (</w:t>
      </w:r>
      <w:proofErr w:type="spellStart"/>
      <w:r w:rsidR="008A455D" w:rsidRPr="00E24DD2">
        <w:rPr>
          <w:i/>
        </w:rPr>
        <w:t>mudârib</w:t>
      </w:r>
      <w:proofErr w:type="spellEnd"/>
      <w:r w:rsidR="008A455D" w:rsidRPr="00E24DD2">
        <w:rPr>
          <w:i/>
        </w:rPr>
        <w:t xml:space="preserve">) veya </w:t>
      </w:r>
      <w:proofErr w:type="spellStart"/>
      <w:r w:rsidR="008A455D" w:rsidRPr="00E24DD2">
        <w:rPr>
          <w:i/>
        </w:rPr>
        <w:t>müşâreke</w:t>
      </w:r>
      <w:proofErr w:type="spellEnd"/>
      <w:r w:rsidR="008A455D" w:rsidRPr="00E24DD2">
        <w:rPr>
          <w:i/>
        </w:rPr>
        <w:t xml:space="preserve"> akdi ortağı (</w:t>
      </w:r>
      <w:proofErr w:type="spellStart"/>
      <w:r w:rsidR="008A455D" w:rsidRPr="00E24DD2">
        <w:rPr>
          <w:i/>
        </w:rPr>
        <w:t>şerîk</w:t>
      </w:r>
      <w:proofErr w:type="spellEnd"/>
      <w:r w:rsidR="008A455D" w:rsidRPr="00E24DD2">
        <w:rPr>
          <w:i/>
        </w:rPr>
        <w:t xml:space="preserve">) ya da yatırım vekili olmaması şartıyla </w:t>
      </w:r>
      <w:r w:rsidR="008A455D" w:rsidRPr="00E24DD2">
        <w:rPr>
          <w:b/>
          <w:i/>
        </w:rPr>
        <w:t>kiracının (</w:t>
      </w:r>
      <w:proofErr w:type="spellStart"/>
      <w:r w:rsidR="008A455D" w:rsidRPr="00E24DD2">
        <w:rPr>
          <w:b/>
          <w:i/>
        </w:rPr>
        <w:t>müste’cir</w:t>
      </w:r>
      <w:proofErr w:type="spellEnd"/>
      <w:r w:rsidR="008A455D" w:rsidRPr="00E24DD2">
        <w:rPr>
          <w:b/>
          <w:i/>
        </w:rPr>
        <w:t xml:space="preserve">), kira akdine dayalı olarak menkulleştirilen varlıkları </w:t>
      </w:r>
      <w:proofErr w:type="spellStart"/>
      <w:r w:rsidR="008A455D" w:rsidRPr="00E24DD2">
        <w:rPr>
          <w:b/>
          <w:i/>
        </w:rPr>
        <w:t>sukukun</w:t>
      </w:r>
      <w:proofErr w:type="spellEnd"/>
      <w:r w:rsidR="008A455D" w:rsidRPr="00E24DD2">
        <w:rPr>
          <w:b/>
          <w:i/>
        </w:rPr>
        <w:t xml:space="preserve"> itfa tarihinde nominal değeri ile geri satın alacağı taahhüdünde bulunması caizdir</w:t>
      </w:r>
      <w:r w:rsidR="008A455D" w:rsidRPr="00E24DD2">
        <w:rPr>
          <w:i/>
        </w:rPr>
        <w:t>.</w:t>
      </w:r>
      <w:r>
        <w:t>”</w:t>
      </w:r>
      <w:r>
        <w:rPr>
          <w:rStyle w:val="DipnotBavurusu"/>
        </w:rPr>
        <w:footnoteReference w:id="39"/>
      </w:r>
      <w:r>
        <w:t xml:space="preserve"> </w:t>
      </w:r>
    </w:p>
    <w:p w:rsidR="008A455D" w:rsidRDefault="00E24DD2" w:rsidP="00E24DD2">
      <w:pPr>
        <w:ind w:firstLine="708"/>
      </w:pPr>
      <w:proofErr w:type="spellStart"/>
      <w:r>
        <w:t>AAOIFI’nin</w:t>
      </w:r>
      <w:proofErr w:type="spellEnd"/>
      <w:r>
        <w:t xml:space="preserve"> bu yeni kararları, 2003 standartlarında </w:t>
      </w:r>
      <w:r w:rsidR="008C0AED">
        <w:t>çok genel ve müphem kalmış olan bir meseleyi</w:t>
      </w:r>
      <w:r>
        <w:t xml:space="preserve"> açıklamak bakımından çok yerinde olmuştur. </w:t>
      </w:r>
      <w:r w:rsidR="004A602C">
        <w:t xml:space="preserve">5 no.lu karara bakıldığında, şayet kiracı, aynı zamanda </w:t>
      </w:r>
      <w:proofErr w:type="spellStart"/>
      <w:r w:rsidR="004A602C">
        <w:t>mudârib</w:t>
      </w:r>
      <w:proofErr w:type="spellEnd"/>
      <w:r w:rsidR="004A602C">
        <w:t xml:space="preserve">, </w:t>
      </w:r>
      <w:proofErr w:type="spellStart"/>
      <w:r w:rsidR="004A602C">
        <w:t>şerîk</w:t>
      </w:r>
      <w:proofErr w:type="spellEnd"/>
      <w:r w:rsidR="004A602C">
        <w:t xml:space="preserve"> veya vekil değilse ihraca konu varlıkları/hakları nominal değerinden geri almayı taahhüt etmesinde sakınca</w:t>
      </w:r>
      <w:r w:rsidR="00D4506E">
        <w:t xml:space="preserve"> görülmemiştir. Gerçekten </w:t>
      </w:r>
      <w:proofErr w:type="spellStart"/>
      <w:r w:rsidR="00D4506E">
        <w:t>sukukun</w:t>
      </w:r>
      <w:proofErr w:type="spellEnd"/>
      <w:r w:rsidR="00D4506E">
        <w:t xml:space="preserve"> işlerliği bakımından pratikte de bu şekilde olması gerektiği açıktır. Aksi durumda, belirsizlikler tarafların zararına yol açabilecek, ihtilaflara neden olabilecek pek çok hukuki sorun gündeme gelebilecektir. </w:t>
      </w:r>
      <w:proofErr w:type="spellStart"/>
      <w:r w:rsidR="00D4506E">
        <w:t>Sukuk</w:t>
      </w:r>
      <w:proofErr w:type="spellEnd"/>
      <w:r w:rsidR="00D4506E">
        <w:t xml:space="preserve"> ilişkisinin nihayetinde bir kaynak sağlama yöntemi olduğu gözden uzak tutulmamalıdır. Kaldı ki, </w:t>
      </w:r>
      <w:proofErr w:type="spellStart"/>
      <w:r w:rsidR="00D4506E">
        <w:t>sukukun</w:t>
      </w:r>
      <w:proofErr w:type="spellEnd"/>
      <w:r w:rsidR="00D4506E">
        <w:t xml:space="preserve"> İslam hukukundaki dayanağı olarak gösterilen </w:t>
      </w:r>
      <w:r w:rsidR="00D4506E" w:rsidRPr="00D4506E">
        <w:t xml:space="preserve">Bey‘ </w:t>
      </w:r>
      <w:proofErr w:type="spellStart"/>
      <w:r w:rsidR="00D4506E" w:rsidRPr="00D4506E">
        <w:t>Bi’l-Vefâ</w:t>
      </w:r>
      <w:proofErr w:type="spellEnd"/>
      <w:r w:rsidR="00D4506E" w:rsidRPr="00D4506E">
        <w:t xml:space="preserve"> (Bey’ Bil-</w:t>
      </w:r>
      <w:proofErr w:type="spellStart"/>
      <w:r w:rsidR="00D4506E" w:rsidRPr="00D4506E">
        <w:t>İstiğlâl</w:t>
      </w:r>
      <w:proofErr w:type="spellEnd"/>
      <w:r w:rsidR="00D4506E" w:rsidRPr="00D4506E">
        <w:t>)</w:t>
      </w:r>
      <w:r w:rsidR="00D4506E">
        <w:t xml:space="preserve"> akitlerinde de geri alımın nominal bedelden olduğu, buna rağmen 11. yüzyıl İslam hukukçularından bu yana taraftar bulduğu malumdur. Nitekim bu akitlerin mecelle içerisinde yer bulması da önemlidir diye düşünüyoruz. </w:t>
      </w:r>
    </w:p>
    <w:p w:rsidR="008933D2" w:rsidRDefault="008933D2" w:rsidP="008933D2">
      <w:pPr>
        <w:ind w:firstLine="708"/>
      </w:pPr>
      <w:r>
        <w:t>“Vekâlet ile kefaleti aynı akit içerisinde birleştirmek caiz değildir. Çünkü vekâlet ve kefalet akitlerinin muktezası / yapısı birbirine zıt hükümler içermekte ve yatırım vekilinin tazminle yükümlü olması şartı, sermaye ile birlikte belirli oranda bir getirinin garanti edilmesi anlamına geldiği için, gerçekleştirilen işlemi faizli krediye çevirmektedir.”</w:t>
      </w:r>
      <w:r>
        <w:rPr>
          <w:rStyle w:val="DipnotBavurusu"/>
        </w:rPr>
        <w:footnoteReference w:id="40"/>
      </w:r>
    </w:p>
    <w:p w:rsidR="008933D2" w:rsidRDefault="008933D2" w:rsidP="008933D2">
      <w:pPr>
        <w:ind w:firstLine="708"/>
      </w:pPr>
      <w:r>
        <w:t>“</w:t>
      </w:r>
      <w:proofErr w:type="spellStart"/>
      <w:r>
        <w:t>Mudarabe</w:t>
      </w:r>
      <w:proofErr w:type="spellEnd"/>
      <w:r>
        <w:t xml:space="preserve"> ve </w:t>
      </w:r>
      <w:proofErr w:type="spellStart"/>
      <w:r>
        <w:t>müşareke</w:t>
      </w:r>
      <w:proofErr w:type="spellEnd"/>
      <w:r>
        <w:t xml:space="preserve"> esasına göre çalışan yönetici bankanın, ortakları lehine borçlulara kefil olmasının ve yatırımcıların hisselerini döviz piyasalarının durumu ne olursa olsun korumak amacıyla, döviz kurlarındaki dalgalanmalardan kaynaklanan zararları üstleneceği yönünde bir teminat vermesinin caiz olmadığı görüşünün dayanağı bunun ortağın ya</w:t>
      </w:r>
      <w:r w:rsidRPr="008933D2">
        <w:t xml:space="preserve"> </w:t>
      </w:r>
      <w:r>
        <w:t xml:space="preserve">da </w:t>
      </w:r>
      <w:proofErr w:type="spellStart"/>
      <w:r>
        <w:t>mudaribin</w:t>
      </w:r>
      <w:proofErr w:type="spellEnd"/>
      <w:r>
        <w:t xml:space="preserve"> (işletmecinin) diğer ortakların </w:t>
      </w:r>
      <w:r>
        <w:lastRenderedPageBreak/>
        <w:t>ya da sermayedarların şirkete kattıkları sermayeyi tazmin etmesi neticesi vermesidir. Bu da İslam hukuku bakımından yasaktır.”</w:t>
      </w:r>
      <w:r>
        <w:rPr>
          <w:rStyle w:val="DipnotBavurusu"/>
        </w:rPr>
        <w:footnoteReference w:id="41"/>
      </w:r>
    </w:p>
    <w:p w:rsidR="00D9301F" w:rsidRDefault="00D9301F" w:rsidP="008933D2">
      <w:pPr>
        <w:ind w:firstLine="708"/>
      </w:pPr>
      <w:proofErr w:type="spellStart"/>
      <w:r w:rsidRPr="00D9301F">
        <w:t>AAOIFI</w:t>
      </w:r>
      <w:r>
        <w:t>’nin</w:t>
      </w:r>
      <w:proofErr w:type="spellEnd"/>
      <w:r>
        <w:t xml:space="preserve"> yukarıdaki açıklamalarla</w:t>
      </w:r>
      <w:r w:rsidRPr="00D9301F">
        <w:t>,</w:t>
      </w:r>
      <w:r>
        <w:t xml:space="preserve"> kiracının aynı zamanda vekil, </w:t>
      </w:r>
      <w:proofErr w:type="spellStart"/>
      <w:r>
        <w:t>mud</w:t>
      </w:r>
      <w:r w:rsidR="00524AE4">
        <w:t>â</w:t>
      </w:r>
      <w:r>
        <w:t>rib</w:t>
      </w:r>
      <w:proofErr w:type="spellEnd"/>
      <w:r>
        <w:t xml:space="preserve"> veya şerik sıfatı varsa nominal bedelden geri alım taahhüdünde bulunmasını faizli işleme yol açabileceği endişesiyle uygun bulmamıştır. Fakat yukarıda zikredilen karar no:5 ile kiracının başka bir sıfatı yoksa, </w:t>
      </w:r>
      <w:proofErr w:type="gramStart"/>
      <w:r>
        <w:t>nominal</w:t>
      </w:r>
      <w:proofErr w:type="gramEnd"/>
      <w:r>
        <w:t xml:space="preserve"> bedelden geri alım taahhüdünde bulunmasında herhangi bir sakınca görmemiştir. </w:t>
      </w:r>
      <w:r w:rsidR="002146A5">
        <w:t xml:space="preserve">Ülkemizde ihraç edilen </w:t>
      </w:r>
      <w:proofErr w:type="spellStart"/>
      <w:r w:rsidR="002146A5">
        <w:t>sukuklar</w:t>
      </w:r>
      <w:proofErr w:type="spellEnd"/>
      <w:r w:rsidR="002146A5">
        <w:t xml:space="preserve"> bakımından da nominal bedelden geri alım taahhüdünde bulunulmasını, söz konusu ihraçların icazetnamelerini imza etmiş bütün İslam hukukçuları herhangi bir ihtirazi kayıt belirtmeden uygun görmüşlerdir. </w:t>
      </w:r>
      <w:proofErr w:type="spellStart"/>
      <w:r w:rsidR="002146A5">
        <w:t>AAIOFI’nin</w:t>
      </w:r>
      <w:proofErr w:type="spellEnd"/>
      <w:r w:rsidR="002146A5">
        <w:t xml:space="preserve"> karar </w:t>
      </w:r>
      <w:proofErr w:type="spellStart"/>
      <w:r w:rsidR="002146A5">
        <w:t>no</w:t>
      </w:r>
      <w:proofErr w:type="spellEnd"/>
      <w:r w:rsidR="002146A5">
        <w:t>: 5 deki sınırlamasının, ülkemiz uygulamaları bakımından da tartışılması ve ihraca dayanak sözleşmelerin faiz riskine yo</w:t>
      </w:r>
      <w:r w:rsidR="00F94D9D">
        <w:t>l</w:t>
      </w:r>
      <w:r w:rsidR="002146A5">
        <w:t xml:space="preserve"> açmayacak biçimde </w:t>
      </w:r>
      <w:r w:rsidR="00F94D9D">
        <w:t xml:space="preserve">ve </w:t>
      </w:r>
      <w:r w:rsidR="002146A5">
        <w:t>daha dikkatli incelenmesi gerektiği kanısındayız.</w:t>
      </w:r>
      <w:r w:rsidR="00D2492F">
        <w:t xml:space="preserve"> Gerekirse Tebliğ’e</w:t>
      </w:r>
      <w:r w:rsidR="002146A5">
        <w:t xml:space="preserve"> </w:t>
      </w:r>
      <w:r w:rsidR="00D2492F">
        <w:t xml:space="preserve">bu yönde </w:t>
      </w:r>
      <w:r w:rsidR="00F94D9D">
        <w:t xml:space="preserve">hüküm </w:t>
      </w:r>
      <w:r w:rsidR="00D2492F">
        <w:t>ilave</w:t>
      </w:r>
      <w:r w:rsidR="00F94D9D">
        <w:t xml:space="preserve"> edilmesi de</w:t>
      </w:r>
      <w:r w:rsidR="00D2492F">
        <w:t xml:space="preserve"> düşünülmelidir.</w:t>
      </w:r>
    </w:p>
    <w:p w:rsidR="00EA5822" w:rsidRDefault="00EA5822" w:rsidP="00EA5822"/>
    <w:p w:rsidR="006E7141" w:rsidRDefault="006E7141" w:rsidP="00A130BE">
      <w:r>
        <w:tab/>
      </w:r>
      <w:r w:rsidR="001A739E">
        <w:t>3-K</w:t>
      </w:r>
      <w:r>
        <w:t>ira müddetince (ihraçtan itfaya kadar) varlığa/hakka ilişkin</w:t>
      </w:r>
      <w:r w:rsidR="001A739E">
        <w:t xml:space="preserve"> risklerin kiracıya bırakılması, malikin üstlenmesi gereken giderlerin/yükümlülüklerin kiracıya </w:t>
      </w:r>
      <w:r w:rsidR="00696A22">
        <w:t>yükletilmesi</w:t>
      </w:r>
      <w:r w:rsidR="001A739E">
        <w:t xml:space="preserve"> sorunu;</w:t>
      </w:r>
    </w:p>
    <w:p w:rsidR="00E006C5" w:rsidRDefault="002957B1" w:rsidP="00A130BE">
      <w:r>
        <w:tab/>
      </w:r>
      <w:r w:rsidR="00E252AB">
        <w:t>Aynı</w:t>
      </w:r>
      <w:r>
        <w:t xml:space="preserve"> sorun, finansal kiralama (leas</w:t>
      </w:r>
      <w:r w:rsidR="00E252AB">
        <w:t>ing) işlemlerinde de söz konusudur.</w:t>
      </w:r>
      <w:r w:rsidR="00E006C5">
        <w:t xml:space="preserve"> </w:t>
      </w:r>
    </w:p>
    <w:p w:rsidR="00E50788" w:rsidRDefault="002957B1" w:rsidP="002957B1">
      <w:pPr>
        <w:ind w:firstLine="708"/>
      </w:pPr>
      <w:r>
        <w:t>Ülkemiz uygulamasında kira ilişkilerinde kullanımdan kaynaklanan giderler ve kiralananın aynından kaynaklanan giderler şeklinde bir ayırım örf haline gelmiş durumdadır.</w:t>
      </w:r>
      <w:r w:rsidR="00665E02">
        <w:t xml:space="preserve"> Nitekim konuyu düzenleyen kanun hük</w:t>
      </w:r>
      <w:r w:rsidR="005E78AC">
        <w:t>ü</w:t>
      </w:r>
      <w:r w:rsidR="00665E02">
        <w:t>m</w:t>
      </w:r>
      <w:r w:rsidR="005E78AC">
        <w:t xml:space="preserve">lerinde </w:t>
      </w:r>
      <w:r w:rsidR="00665E02">
        <w:t xml:space="preserve">de </w:t>
      </w:r>
      <w:r w:rsidR="005E78AC">
        <w:t>“</w:t>
      </w:r>
      <w:r w:rsidR="005E78AC" w:rsidRPr="005E78AC">
        <w:rPr>
          <w:i/>
        </w:rPr>
        <w:t>Kiralananla ilgili zorunlu sigorta, vergi ve benzeri yükümlülüklere, aksi kararlaştırılmamış veya kanunda öngörülmemiş ise, kiraya veren katlanır.</w:t>
      </w:r>
      <w:r w:rsidR="005E78AC">
        <w:t>”</w:t>
      </w:r>
      <w:r w:rsidR="005E78AC">
        <w:rPr>
          <w:rStyle w:val="DipnotBavurusu"/>
        </w:rPr>
        <w:footnoteReference w:id="42"/>
      </w:r>
      <w:r w:rsidR="005E78AC">
        <w:t xml:space="preserve"> </w:t>
      </w:r>
      <w:r w:rsidR="00665E02" w:rsidRPr="00665E02">
        <w:rPr>
          <w:i/>
        </w:rPr>
        <w:t>“</w:t>
      </w:r>
      <w:proofErr w:type="gramStart"/>
      <w:r w:rsidR="00665E02" w:rsidRPr="00665E02">
        <w:rPr>
          <w:i/>
        </w:rPr>
        <w:t>Kiracı</w:t>
      </w:r>
      <w:r w:rsidR="00665E02">
        <w:rPr>
          <w:i/>
        </w:rPr>
        <w:t xml:space="preserve"> </w:t>
      </w:r>
      <w:r w:rsidR="00665E02" w:rsidRPr="00665E02">
        <w:rPr>
          <w:i/>
        </w:rPr>
        <w:t>…</w:t>
      </w:r>
      <w:proofErr w:type="gramEnd"/>
      <w:r w:rsidR="00665E02">
        <w:rPr>
          <w:i/>
        </w:rPr>
        <w:t xml:space="preserve"> </w:t>
      </w:r>
      <w:proofErr w:type="gramStart"/>
      <w:r w:rsidR="00665E02" w:rsidRPr="00665E02">
        <w:rPr>
          <w:i/>
        </w:rPr>
        <w:t>sözleşmede</w:t>
      </w:r>
      <w:proofErr w:type="gramEnd"/>
      <w:r w:rsidR="00665E02" w:rsidRPr="00665E02">
        <w:rPr>
          <w:i/>
        </w:rPr>
        <w:t xml:space="preserve"> aksi öngörülmemişse veya aksine yerel âdet yoksa, ısıtma, aydınlatma ve su gibi </w:t>
      </w:r>
      <w:r w:rsidR="00665E02" w:rsidRPr="00665E02">
        <w:rPr>
          <w:b/>
          <w:i/>
        </w:rPr>
        <w:t>kullanma giderlerine</w:t>
      </w:r>
      <w:r w:rsidR="00665E02" w:rsidRPr="00665E02">
        <w:rPr>
          <w:i/>
        </w:rPr>
        <w:t xml:space="preserve"> katlanmakla yükümlüdür</w:t>
      </w:r>
      <w:r w:rsidR="00665E02">
        <w:t>”</w:t>
      </w:r>
      <w:r w:rsidR="00665E02">
        <w:rPr>
          <w:rStyle w:val="DipnotBavurusu"/>
        </w:rPr>
        <w:footnoteReference w:id="43"/>
      </w:r>
      <w:r w:rsidR="005E78AC">
        <w:t xml:space="preserve"> denmektedir. </w:t>
      </w:r>
    </w:p>
    <w:p w:rsidR="005E78AC" w:rsidRDefault="00292000" w:rsidP="005E78AC">
      <w:pPr>
        <w:ind w:firstLine="708"/>
      </w:pPr>
      <w:r>
        <w:t>Benzer düzenleme AAOIFI standartlarında da yer almaktadır; “</w:t>
      </w:r>
      <w:r w:rsidR="005E78AC" w:rsidRPr="00292000">
        <w:rPr>
          <w:i/>
        </w:rPr>
        <w:t>Kiralayanın, kira konusu varlığ</w:t>
      </w:r>
      <w:r w:rsidRPr="00292000">
        <w:rPr>
          <w:i/>
        </w:rPr>
        <w:t>ın kull</w:t>
      </w:r>
      <w:r w:rsidR="005E78AC" w:rsidRPr="00292000">
        <w:rPr>
          <w:i/>
        </w:rPr>
        <w:t>anılabilir durumda / kullanılmaya</w:t>
      </w:r>
      <w:r w:rsidRPr="00292000">
        <w:rPr>
          <w:i/>
        </w:rPr>
        <w:t xml:space="preserve"> </w:t>
      </w:r>
      <w:r w:rsidR="005E78AC" w:rsidRPr="00292000">
        <w:rPr>
          <w:i/>
        </w:rPr>
        <w:t>elverişli halde kalması için zorunlu olan temel</w:t>
      </w:r>
      <w:r w:rsidRPr="00292000">
        <w:rPr>
          <w:i/>
        </w:rPr>
        <w:t xml:space="preserve"> </w:t>
      </w:r>
      <w:r w:rsidR="005E78AC" w:rsidRPr="00292000">
        <w:rPr>
          <w:i/>
        </w:rPr>
        <w:t>/</w:t>
      </w:r>
      <w:r w:rsidRPr="00292000">
        <w:rPr>
          <w:i/>
        </w:rPr>
        <w:t xml:space="preserve"> esaslı bakıml</w:t>
      </w:r>
      <w:r w:rsidR="005E78AC" w:rsidRPr="00292000">
        <w:rPr>
          <w:i/>
        </w:rPr>
        <w:t>ardan</w:t>
      </w:r>
      <w:r w:rsidRPr="00292000">
        <w:rPr>
          <w:i/>
        </w:rPr>
        <w:t xml:space="preserve"> </w:t>
      </w:r>
      <w:r w:rsidR="005E78AC" w:rsidRPr="00292000">
        <w:rPr>
          <w:i/>
        </w:rPr>
        <w:t>kiracının sorumlu olacağı şartını ileri sürmesi caiz değildir. Ancak</w:t>
      </w:r>
      <w:r w:rsidRPr="00292000">
        <w:rPr>
          <w:i/>
        </w:rPr>
        <w:t xml:space="preserve"> </w:t>
      </w:r>
      <w:r w:rsidR="005E78AC" w:rsidRPr="00292000">
        <w:rPr>
          <w:i/>
        </w:rPr>
        <w:t>kiralayan, bakım masraflarının kendi hesabına olacak şekilde yapılması</w:t>
      </w:r>
      <w:r w:rsidRPr="00292000">
        <w:rPr>
          <w:i/>
        </w:rPr>
        <w:t xml:space="preserve"> </w:t>
      </w:r>
      <w:r w:rsidR="005E78AC" w:rsidRPr="00292000">
        <w:rPr>
          <w:i/>
        </w:rPr>
        <w:t xml:space="preserve">için kiracısına </w:t>
      </w:r>
      <w:r w:rsidRPr="00292000">
        <w:rPr>
          <w:i/>
        </w:rPr>
        <w:t>vekâlet</w:t>
      </w:r>
      <w:r w:rsidR="005E78AC" w:rsidRPr="00292000">
        <w:rPr>
          <w:i/>
        </w:rPr>
        <w:t xml:space="preserve"> verebilir. Kira </w:t>
      </w:r>
      <w:r w:rsidR="005E78AC" w:rsidRPr="00292000">
        <w:rPr>
          <w:i/>
        </w:rPr>
        <w:lastRenderedPageBreak/>
        <w:t>konusu varlıkla ilgili işletme veya</w:t>
      </w:r>
      <w:r w:rsidRPr="00292000">
        <w:rPr>
          <w:i/>
        </w:rPr>
        <w:t xml:space="preserve"> </w:t>
      </w:r>
      <w:r w:rsidR="005E78AC" w:rsidRPr="00292000">
        <w:rPr>
          <w:i/>
        </w:rPr>
        <w:t>mutat dönemsel bakım masrafları kiracıya aittir</w:t>
      </w:r>
      <w:r>
        <w:t>.”</w:t>
      </w:r>
      <w:r>
        <w:rPr>
          <w:rStyle w:val="DipnotBavurusu"/>
        </w:rPr>
        <w:footnoteReference w:id="44"/>
      </w:r>
    </w:p>
    <w:p w:rsidR="00BB4C5D" w:rsidRDefault="00BB4C5D" w:rsidP="00BB4C5D">
      <w:pPr>
        <w:ind w:firstLine="708"/>
      </w:pPr>
      <w:r>
        <w:t>“</w:t>
      </w:r>
      <w:r w:rsidRPr="00BB4C5D">
        <w:rPr>
          <w:i/>
        </w:rPr>
        <w:t>Kiralayan, kira ücretini belirlerken yapmış olduğu sigorta masraflarını göz önünde bulundurabilir. Ancak kira sözleşmesi kurulduktan sonra bu tür masrafların kiracıya yüklenmesi yani kira ücreti belirlenirken tespit edilen ücrete ek olarak herhangi bir masrafın kiracıdan alınması caiz değildir.</w:t>
      </w:r>
      <w:r>
        <w:t>”</w:t>
      </w:r>
      <w:r>
        <w:rPr>
          <w:rStyle w:val="DipnotBavurusu"/>
        </w:rPr>
        <w:footnoteReference w:id="45"/>
      </w:r>
    </w:p>
    <w:p w:rsidR="00E006C5" w:rsidRDefault="00E006C5" w:rsidP="005E78AC">
      <w:pPr>
        <w:ind w:firstLine="708"/>
      </w:pPr>
      <w:proofErr w:type="spellStart"/>
      <w:r w:rsidRPr="00E006C5">
        <w:t>Sukuk</w:t>
      </w:r>
      <w:proofErr w:type="spellEnd"/>
      <w:r w:rsidRPr="00E006C5">
        <w:t xml:space="preserve"> ihracına ilişkin</w:t>
      </w:r>
      <w:r>
        <w:t xml:space="preserve"> sözleşmelerde, yukarıdaki hükümlere uygun olan ve uygun olmayan düzenlemelere rastlamak mümkündür. AAOIFI standartlarına açıkça aykırı düzenlemelere rastlamak mümkün olduğu gibi, uygun düzenlemelere rastlamak da mümkündür.</w:t>
      </w:r>
    </w:p>
    <w:p w:rsidR="00E252AB" w:rsidRDefault="00E252AB" w:rsidP="005E78AC">
      <w:pPr>
        <w:ind w:firstLine="708"/>
      </w:pPr>
      <w:r>
        <w:t>Sonuçta</w:t>
      </w:r>
      <w:r w:rsidRPr="00E252AB">
        <w:t xml:space="preserve">, taraflar arasındaki sözleşmelere </w:t>
      </w:r>
      <w:r w:rsidR="00A10313">
        <w:t xml:space="preserve">taraflarca </w:t>
      </w:r>
      <w:r w:rsidRPr="00E252AB">
        <w:t>ilave edilecek (</w:t>
      </w:r>
      <w:r w:rsidR="00A10313">
        <w:t xml:space="preserve">ya da icazetnameyi imza edenlerce </w:t>
      </w:r>
      <w:r w:rsidRPr="00E252AB">
        <w:t xml:space="preserve">ettirilecek) hükümlerle </w:t>
      </w:r>
      <w:r w:rsidR="00BB4C5D">
        <w:t xml:space="preserve">sorunun </w:t>
      </w:r>
      <w:r w:rsidRPr="00E252AB">
        <w:t xml:space="preserve">çözülmesi </w:t>
      </w:r>
      <w:r w:rsidR="00BB4C5D">
        <w:t>mümkün olabileceği gibi, Tebliğe eklenecek hüküm/hükümler ile de kolayca çözüm bulabilmek mümkündür</w:t>
      </w:r>
      <w:r w:rsidRPr="00E252AB">
        <w:t>.</w:t>
      </w:r>
      <w:r w:rsidR="00A10313">
        <w:t xml:space="preserve"> Kanaatimizce her bir </w:t>
      </w:r>
      <w:proofErr w:type="spellStart"/>
      <w:r w:rsidR="00A10313">
        <w:t>sukuk</w:t>
      </w:r>
      <w:proofErr w:type="spellEnd"/>
      <w:r w:rsidR="00A10313">
        <w:t xml:space="preserve"> türü </w:t>
      </w:r>
      <w:r w:rsidR="00253B1C">
        <w:t>için giderlerin kime ait olacağına ilişkin sorunun</w:t>
      </w:r>
      <w:r w:rsidR="00A10313">
        <w:t xml:space="preserve">, </w:t>
      </w:r>
      <w:proofErr w:type="spellStart"/>
      <w:r w:rsidR="00A10313">
        <w:t>faizsizlik</w:t>
      </w:r>
      <w:proofErr w:type="spellEnd"/>
      <w:r w:rsidR="00A10313">
        <w:t xml:space="preserve"> </w:t>
      </w:r>
      <w:r w:rsidR="00E377C5">
        <w:t>esası</w:t>
      </w:r>
      <w:r w:rsidR="00A10313">
        <w:t xml:space="preserve"> ve hakkaniyet </w:t>
      </w:r>
      <w:r w:rsidR="00253B1C">
        <w:t>nazara</w:t>
      </w:r>
      <w:r w:rsidR="00A10313">
        <w:t xml:space="preserve"> alınarak</w:t>
      </w:r>
      <w:r w:rsidR="00253B1C">
        <w:t>,</w:t>
      </w:r>
      <w:r w:rsidR="00A10313">
        <w:t xml:space="preserve"> </w:t>
      </w:r>
      <w:r w:rsidR="00253B1C">
        <w:t xml:space="preserve">Tebliğe </w:t>
      </w:r>
      <w:r w:rsidR="00A10313">
        <w:t>ilave edilecek hükümlerle çözüm</w:t>
      </w:r>
      <w:r w:rsidR="00253B1C">
        <w:t>lenmesi daha doğru</w:t>
      </w:r>
      <w:r w:rsidR="00A10313">
        <w:t xml:space="preserve"> ol</w:t>
      </w:r>
      <w:r w:rsidR="00E377C5">
        <w:t>ur</w:t>
      </w:r>
      <w:r w:rsidR="00253B1C">
        <w:t>.</w:t>
      </w:r>
    </w:p>
    <w:p w:rsidR="00E50788" w:rsidRDefault="00E50788" w:rsidP="00A130BE"/>
    <w:p w:rsidR="006E7141" w:rsidRDefault="006E7141" w:rsidP="00A130BE">
      <w:r>
        <w:tab/>
      </w:r>
      <w:r w:rsidR="001A739E">
        <w:t>4-İ</w:t>
      </w:r>
      <w:r w:rsidRPr="006E7141">
        <w:t>ktisadî anlamda hiçbir şekilde yararlanıl</w:t>
      </w:r>
      <w:r>
        <w:t xml:space="preserve">mayan varlıkların </w:t>
      </w:r>
      <w:proofErr w:type="spellStart"/>
      <w:r>
        <w:t>sukuka</w:t>
      </w:r>
      <w:proofErr w:type="spellEnd"/>
      <w:r>
        <w:t xml:space="preserve"> konu edilmesi</w:t>
      </w:r>
      <w:r w:rsidR="001A739E">
        <w:t xml:space="preserve"> sorunu;</w:t>
      </w:r>
    </w:p>
    <w:p w:rsidR="00566A70" w:rsidRDefault="00250927" w:rsidP="00A130BE">
      <w:r>
        <w:tab/>
        <w:t xml:space="preserve">Bu şekilde bir ihraç, elbette her türlü eleştiriyi hak etmektedir. </w:t>
      </w:r>
      <w:r w:rsidR="00566A70" w:rsidRPr="00566A70">
        <w:t xml:space="preserve">Mevzuatımızda buna ilişkin </w:t>
      </w:r>
      <w:r w:rsidR="00566A70">
        <w:t xml:space="preserve">doğrudan herhangi </w:t>
      </w:r>
      <w:r w:rsidR="00566A70" w:rsidRPr="00566A70">
        <w:t>bir düzenleme bulunmamaktadır.</w:t>
      </w:r>
      <w:r w:rsidR="00566A70">
        <w:t xml:space="preserve"> Fakat </w:t>
      </w:r>
      <w:r w:rsidR="003C5CD0">
        <w:t xml:space="preserve">sahipliğe, ortaklığa ve eser sözleşmesine dayanan ihraçlarda </w:t>
      </w:r>
      <w:r w:rsidR="003C5CD0" w:rsidRPr="003C5CD0">
        <w:rPr>
          <w:i/>
        </w:rPr>
        <w:t>“…ihraç tutarı, 11 inci madde çerçevesinde hazırlanan değerleme raporunda tespit edilen gerçeğe uygun değerin % 90’ını aşamaz</w:t>
      </w:r>
      <w:r w:rsidR="003C5CD0">
        <w:t>” şeklinde bir düzenleme yer almaktadır. Mezkûr 11 inci maddede</w:t>
      </w:r>
      <w:r w:rsidR="003C5CD0">
        <w:rPr>
          <w:rStyle w:val="DipnotBavurusu"/>
        </w:rPr>
        <w:footnoteReference w:id="46"/>
      </w:r>
      <w:r w:rsidR="003C5CD0">
        <w:t xml:space="preserve"> ise oldukça geniş ve kapsamlı kriterler yer almakta ve böyle bir </w:t>
      </w:r>
      <w:r w:rsidR="003C5CD0">
        <w:lastRenderedPageBreak/>
        <w:t>olasılığı minimuma indirmekte ise de buna rağmen yapılacak bu tür hileler aşağıdaki hukuki müeyyideler ile de karşılaşabilecektir.</w:t>
      </w:r>
    </w:p>
    <w:p w:rsidR="008F398D" w:rsidRDefault="00250927" w:rsidP="00566A70">
      <w:pPr>
        <w:ind w:firstLine="708"/>
      </w:pPr>
      <w:r>
        <w:t xml:space="preserve">Kaynak kuruluş böyle bir davranışla </w:t>
      </w:r>
      <w:r w:rsidR="00075FDD" w:rsidRPr="00075FDD">
        <w:t>yararlanılmayan varlıkların</w:t>
      </w:r>
      <w:r w:rsidR="006869A0">
        <w:t>ı</w:t>
      </w:r>
      <w:r w:rsidR="00075FDD" w:rsidRPr="00075FDD">
        <w:t xml:space="preserve"> </w:t>
      </w:r>
      <w:proofErr w:type="spellStart"/>
      <w:r w:rsidR="00075FDD" w:rsidRPr="00075FDD">
        <w:t>sukuka</w:t>
      </w:r>
      <w:proofErr w:type="spellEnd"/>
      <w:r w:rsidR="00075FDD" w:rsidRPr="00075FDD">
        <w:t xml:space="preserve"> konu</w:t>
      </w:r>
      <w:r w:rsidR="00075FDD">
        <w:t xml:space="preserve"> eder; VKŞ</w:t>
      </w:r>
      <w:r w:rsidR="006869A0">
        <w:t xml:space="preserve"> </w:t>
      </w:r>
      <w:r w:rsidR="00075FDD">
        <w:t>de buna göz yumarsa</w:t>
      </w:r>
      <w:r w:rsidR="006869A0">
        <w:t>,</w:t>
      </w:r>
      <w:r w:rsidR="00075FDD">
        <w:t xml:space="preserve"> yatırımcılar, TBK m.30’un “</w:t>
      </w:r>
      <w:r w:rsidR="00075FDD" w:rsidRPr="00075FDD">
        <w:rPr>
          <w:i/>
        </w:rPr>
        <w:t>Sözleşme kurulurken esaslı yanılmaya düşen taraf, sözleşme ile bağlı olmaz</w:t>
      </w:r>
      <w:r w:rsidR="00075FDD">
        <w:t xml:space="preserve">” şeklindeki hükmüne dayanabilirler. </w:t>
      </w:r>
    </w:p>
    <w:p w:rsidR="00075FDD" w:rsidRDefault="00075FDD" w:rsidP="00075FDD">
      <w:pPr>
        <w:rPr>
          <w:bCs/>
        </w:rPr>
      </w:pPr>
      <w:r>
        <w:tab/>
      </w:r>
      <w:proofErr w:type="gramStart"/>
      <w:r>
        <w:t xml:space="preserve">Diğer taraftan </w:t>
      </w:r>
      <w:proofErr w:type="spellStart"/>
      <w:r>
        <w:t>sukuk</w:t>
      </w:r>
      <w:proofErr w:type="spellEnd"/>
      <w:r>
        <w:t xml:space="preserve"> ihracının bütün tarafları bu husus</w:t>
      </w:r>
      <w:r w:rsidR="0035218C">
        <w:t>u</w:t>
      </w:r>
      <w:r>
        <w:t xml:space="preserve"> bilerek hareket ederlerse, TBK m.19’un “</w:t>
      </w:r>
      <w:r w:rsidRPr="00075FDD">
        <w:rPr>
          <w:i/>
        </w:rPr>
        <w:t>Bir sözleşmenin türünün ve içeriğinin belirlenmesinde ve yorumlanmasında, tarafların yanlışlıkla veya gerçek amaçlarını gizlemek için kullandıkları sözcüklere bakılmaksızın, gerçek ve ortak iradeleri esas alınır</w:t>
      </w:r>
      <w:r>
        <w:t xml:space="preserve">” şeklindeki hükmü mucibi bu hukuki ilişki </w:t>
      </w:r>
      <w:proofErr w:type="spellStart"/>
      <w:r>
        <w:t>sukuk</w:t>
      </w:r>
      <w:proofErr w:type="spellEnd"/>
      <w:r>
        <w:t xml:space="preserve"> değil, faizli borç verme işlemi kabul edilir. </w:t>
      </w:r>
      <w:proofErr w:type="gramEnd"/>
      <w:r>
        <w:t xml:space="preserve">Aynı şekilde </w:t>
      </w:r>
      <w:proofErr w:type="spellStart"/>
      <w:r>
        <w:t>Mecelle’nin</w:t>
      </w:r>
      <w:proofErr w:type="spellEnd"/>
      <w:r>
        <w:t xml:space="preserve"> </w:t>
      </w:r>
      <w:r w:rsidRPr="00075FDD">
        <w:rPr>
          <w:i/>
        </w:rPr>
        <w:t>“</w:t>
      </w:r>
      <w:r w:rsidRPr="00075FDD">
        <w:rPr>
          <w:b/>
          <w:bCs/>
          <w:i/>
        </w:rPr>
        <w:t xml:space="preserve">[Bir işten] </w:t>
      </w:r>
      <w:r w:rsidRPr="00075FDD">
        <w:rPr>
          <w:i/>
        </w:rPr>
        <w:t xml:space="preserve">o işin </w:t>
      </w:r>
      <w:proofErr w:type="spellStart"/>
      <w:r w:rsidRPr="00075FDD">
        <w:rPr>
          <w:i/>
        </w:rPr>
        <w:t>fâ'ilinin</w:t>
      </w:r>
      <w:proofErr w:type="spellEnd"/>
      <w:r w:rsidRPr="00075FDD">
        <w:rPr>
          <w:i/>
        </w:rPr>
        <w:t xml:space="preserve"> </w:t>
      </w:r>
      <w:r w:rsidRPr="00075FDD">
        <w:rPr>
          <w:b/>
          <w:bCs/>
          <w:i/>
        </w:rPr>
        <w:t>[</w:t>
      </w:r>
      <w:proofErr w:type="spellStart"/>
      <w:r w:rsidRPr="00075FDD">
        <w:rPr>
          <w:b/>
          <w:bCs/>
          <w:i/>
        </w:rPr>
        <w:t>maksad</w:t>
      </w:r>
      <w:proofErr w:type="spellEnd"/>
      <w:r w:rsidRPr="00075FDD">
        <w:rPr>
          <w:b/>
          <w:bCs/>
          <w:i/>
        </w:rPr>
        <w:t xml:space="preserve">]ı </w:t>
      </w:r>
      <w:r w:rsidRPr="00075FDD">
        <w:rPr>
          <w:i/>
        </w:rPr>
        <w:t xml:space="preserve">her </w:t>
      </w:r>
      <w:r w:rsidRPr="00075FDD">
        <w:rPr>
          <w:b/>
          <w:bCs/>
          <w:i/>
        </w:rPr>
        <w:t xml:space="preserve">[ne] </w:t>
      </w:r>
      <w:r w:rsidRPr="00075FDD">
        <w:rPr>
          <w:i/>
        </w:rPr>
        <w:t xml:space="preserve">şey </w:t>
      </w:r>
      <w:r w:rsidRPr="00075FDD">
        <w:rPr>
          <w:b/>
          <w:bCs/>
          <w:i/>
        </w:rPr>
        <w:t xml:space="preserve">[ise] </w:t>
      </w:r>
      <w:r w:rsidRPr="00075FDD">
        <w:rPr>
          <w:i/>
        </w:rPr>
        <w:t xml:space="preserve">o iş hakkındaki </w:t>
      </w:r>
      <w:r w:rsidRPr="00075FDD">
        <w:rPr>
          <w:b/>
          <w:bCs/>
          <w:i/>
        </w:rPr>
        <w:t>[</w:t>
      </w:r>
      <w:proofErr w:type="spellStart"/>
      <w:r w:rsidRPr="00075FDD">
        <w:rPr>
          <w:b/>
          <w:bCs/>
          <w:i/>
        </w:rPr>
        <w:t>hükm</w:t>
      </w:r>
      <w:proofErr w:type="spellEnd"/>
      <w:r w:rsidRPr="00075FDD">
        <w:rPr>
          <w:b/>
          <w:bCs/>
          <w:i/>
        </w:rPr>
        <w:t xml:space="preserve">-i] </w:t>
      </w:r>
      <w:proofErr w:type="spellStart"/>
      <w:r w:rsidRPr="00075FDD">
        <w:rPr>
          <w:i/>
        </w:rPr>
        <w:t>şer‘î</w:t>
      </w:r>
      <w:proofErr w:type="spellEnd"/>
      <w:r w:rsidRPr="00075FDD">
        <w:rPr>
          <w:i/>
        </w:rPr>
        <w:t xml:space="preserve"> </w:t>
      </w:r>
      <w:r w:rsidRPr="00075FDD">
        <w:rPr>
          <w:b/>
          <w:bCs/>
          <w:i/>
        </w:rPr>
        <w:t xml:space="preserve">[ona] </w:t>
      </w:r>
      <w:r w:rsidRPr="00075FDD">
        <w:rPr>
          <w:i/>
        </w:rPr>
        <w:t xml:space="preserve">yâni o maksada </w:t>
      </w:r>
      <w:r w:rsidRPr="00075FDD">
        <w:rPr>
          <w:b/>
          <w:bCs/>
          <w:i/>
        </w:rPr>
        <w:t xml:space="preserve">[göredir. Yâni] </w:t>
      </w:r>
      <w:r w:rsidRPr="00075FDD">
        <w:rPr>
          <w:i/>
        </w:rPr>
        <w:t xml:space="preserve">bir </w:t>
      </w:r>
      <w:proofErr w:type="spellStart"/>
      <w:r w:rsidRPr="00075FDD">
        <w:rPr>
          <w:i/>
        </w:rPr>
        <w:t>fâ'ilin</w:t>
      </w:r>
      <w:proofErr w:type="spellEnd"/>
      <w:r w:rsidRPr="00075FDD">
        <w:rPr>
          <w:i/>
        </w:rPr>
        <w:t xml:space="preserve"> işlediği </w:t>
      </w:r>
      <w:r w:rsidRPr="00075FDD">
        <w:rPr>
          <w:b/>
          <w:bCs/>
          <w:i/>
        </w:rPr>
        <w:t xml:space="preserve">[bir iş üzerine </w:t>
      </w:r>
      <w:proofErr w:type="spellStart"/>
      <w:r w:rsidRPr="00075FDD">
        <w:rPr>
          <w:b/>
          <w:bCs/>
          <w:i/>
        </w:rPr>
        <w:t>terettüb</w:t>
      </w:r>
      <w:proofErr w:type="spellEnd"/>
      <w:r w:rsidRPr="00075FDD">
        <w:rPr>
          <w:b/>
          <w:bCs/>
          <w:i/>
        </w:rPr>
        <w:t xml:space="preserve"> edecek </w:t>
      </w:r>
      <w:proofErr w:type="spellStart"/>
      <w:r w:rsidRPr="00075FDD">
        <w:rPr>
          <w:b/>
          <w:bCs/>
          <w:i/>
        </w:rPr>
        <w:t>hükm</w:t>
      </w:r>
      <w:proofErr w:type="spellEnd"/>
      <w:r w:rsidRPr="00075FDD">
        <w:rPr>
          <w:b/>
          <w:bCs/>
          <w:i/>
        </w:rPr>
        <w:t xml:space="preserve">-i] </w:t>
      </w:r>
      <w:proofErr w:type="spellStart"/>
      <w:r w:rsidRPr="00075FDD">
        <w:rPr>
          <w:i/>
        </w:rPr>
        <w:t>şer'î</w:t>
      </w:r>
      <w:proofErr w:type="spellEnd"/>
      <w:r w:rsidRPr="00075FDD">
        <w:rPr>
          <w:i/>
        </w:rPr>
        <w:t xml:space="preserve"> </w:t>
      </w:r>
      <w:r w:rsidRPr="00075FDD">
        <w:rPr>
          <w:b/>
          <w:bCs/>
          <w:i/>
        </w:rPr>
        <w:t xml:space="preserve">[ol </w:t>
      </w:r>
      <w:proofErr w:type="spellStart"/>
      <w:r w:rsidRPr="00075FDD">
        <w:rPr>
          <w:b/>
          <w:bCs/>
          <w:i/>
        </w:rPr>
        <w:t>işden</w:t>
      </w:r>
      <w:proofErr w:type="spellEnd"/>
      <w:r w:rsidRPr="00075FDD">
        <w:rPr>
          <w:b/>
          <w:bCs/>
          <w:i/>
        </w:rPr>
        <w:t xml:space="preserve">] </w:t>
      </w:r>
      <w:proofErr w:type="spellStart"/>
      <w:r w:rsidRPr="00075FDD">
        <w:rPr>
          <w:i/>
        </w:rPr>
        <w:t>fâ'ilinin</w:t>
      </w:r>
      <w:proofErr w:type="spellEnd"/>
      <w:r w:rsidRPr="00075FDD">
        <w:rPr>
          <w:i/>
        </w:rPr>
        <w:t xml:space="preserve"> </w:t>
      </w:r>
      <w:r w:rsidRPr="00075FDD">
        <w:rPr>
          <w:b/>
          <w:bCs/>
          <w:i/>
        </w:rPr>
        <w:t>[</w:t>
      </w:r>
      <w:proofErr w:type="spellStart"/>
      <w:r w:rsidRPr="00075FDD">
        <w:rPr>
          <w:b/>
          <w:bCs/>
          <w:i/>
        </w:rPr>
        <w:t>maksad</w:t>
      </w:r>
      <w:proofErr w:type="spellEnd"/>
      <w:r w:rsidRPr="00075FDD">
        <w:rPr>
          <w:b/>
          <w:bCs/>
          <w:i/>
        </w:rPr>
        <w:t xml:space="preserve"> ve </w:t>
      </w:r>
      <w:proofErr w:type="spellStart"/>
      <w:r w:rsidRPr="00075FDD">
        <w:rPr>
          <w:b/>
          <w:bCs/>
          <w:i/>
        </w:rPr>
        <w:t>murâdı</w:t>
      </w:r>
      <w:proofErr w:type="spellEnd"/>
      <w:r w:rsidRPr="00075FDD">
        <w:rPr>
          <w:b/>
          <w:bCs/>
          <w:i/>
        </w:rPr>
        <w:t xml:space="preserve">] </w:t>
      </w:r>
      <w:r w:rsidRPr="00075FDD">
        <w:rPr>
          <w:i/>
        </w:rPr>
        <w:t xml:space="preserve">ve </w:t>
      </w:r>
      <w:proofErr w:type="spellStart"/>
      <w:r w:rsidRPr="00075FDD">
        <w:rPr>
          <w:i/>
        </w:rPr>
        <w:t>matlûbu</w:t>
      </w:r>
      <w:proofErr w:type="spellEnd"/>
      <w:r w:rsidRPr="00075FDD">
        <w:rPr>
          <w:i/>
        </w:rPr>
        <w:t xml:space="preserve"> her </w:t>
      </w:r>
      <w:r w:rsidRPr="00075FDD">
        <w:rPr>
          <w:b/>
          <w:bCs/>
          <w:i/>
        </w:rPr>
        <w:t xml:space="preserve">[ne] </w:t>
      </w:r>
      <w:r w:rsidRPr="00075FDD">
        <w:rPr>
          <w:i/>
        </w:rPr>
        <w:t xml:space="preserve">şey </w:t>
      </w:r>
      <w:r w:rsidRPr="00075FDD">
        <w:rPr>
          <w:b/>
          <w:bCs/>
          <w:i/>
        </w:rPr>
        <w:t>[ise ona göre olur.]</w:t>
      </w:r>
      <w:r>
        <w:rPr>
          <w:b/>
          <w:bCs/>
        </w:rPr>
        <w:t>”</w:t>
      </w:r>
      <w:r>
        <w:rPr>
          <w:bCs/>
        </w:rPr>
        <w:t xml:space="preserve"> şeklindeki 2 </w:t>
      </w:r>
      <w:proofErr w:type="spellStart"/>
      <w:r>
        <w:rPr>
          <w:bCs/>
        </w:rPr>
        <w:t>nci</w:t>
      </w:r>
      <w:proofErr w:type="spellEnd"/>
      <w:r>
        <w:rPr>
          <w:bCs/>
        </w:rPr>
        <w:t xml:space="preserve"> maddesi</w:t>
      </w:r>
      <w:r>
        <w:rPr>
          <w:rStyle w:val="DipnotBavurusu"/>
          <w:bCs/>
        </w:rPr>
        <w:footnoteReference w:id="47"/>
      </w:r>
      <w:r>
        <w:rPr>
          <w:bCs/>
        </w:rPr>
        <w:t xml:space="preserve"> uyarınca da böyle bir işleme </w:t>
      </w:r>
      <w:proofErr w:type="spellStart"/>
      <w:r>
        <w:rPr>
          <w:bCs/>
        </w:rPr>
        <w:t>sukuk</w:t>
      </w:r>
      <w:proofErr w:type="spellEnd"/>
      <w:r>
        <w:rPr>
          <w:bCs/>
        </w:rPr>
        <w:t xml:space="preserve"> (faizsiz kaynak temini) denemez.</w:t>
      </w:r>
    </w:p>
    <w:p w:rsidR="00566A70" w:rsidRPr="00075FDD" w:rsidRDefault="00566A70" w:rsidP="00075FDD">
      <w:r>
        <w:rPr>
          <w:bCs/>
        </w:rPr>
        <w:tab/>
        <w:t>Bu noktada, ihracın tarafları kadar, ihraç sürecinde yer alan hukukçular, icazetnameleri imza eden İslam hukukçuları ile en önemlisi denetim makamı pozisyonundaki Sermaye Piyasası Kurulu’nun da sorumluluk üstlenmiş olacağı kanısındayız.</w:t>
      </w:r>
    </w:p>
    <w:p w:rsidR="00BC0C2C" w:rsidRDefault="00BC0C2C" w:rsidP="00A130BE"/>
    <w:p w:rsidR="006E7141" w:rsidRPr="00DB1045" w:rsidRDefault="006E7141" w:rsidP="00A130BE">
      <w:pPr>
        <w:rPr>
          <w:b/>
        </w:rPr>
      </w:pPr>
      <w:r w:rsidRPr="00DB1045">
        <w:rPr>
          <w:b/>
        </w:rPr>
        <w:tab/>
      </w:r>
      <w:r w:rsidR="001A739E" w:rsidRPr="00DB1045">
        <w:rPr>
          <w:b/>
        </w:rPr>
        <w:t>5-A</w:t>
      </w:r>
      <w:r w:rsidR="00BE50E5" w:rsidRPr="00DB1045">
        <w:rPr>
          <w:b/>
        </w:rPr>
        <w:t>napara ve getiri garantisi</w:t>
      </w:r>
      <w:r w:rsidR="001A739E" w:rsidRPr="00DB1045">
        <w:rPr>
          <w:b/>
        </w:rPr>
        <w:t xml:space="preserve"> sorunu;</w:t>
      </w:r>
    </w:p>
    <w:p w:rsidR="006B3380" w:rsidRDefault="00566A70" w:rsidP="00A130BE">
      <w:r>
        <w:tab/>
      </w:r>
      <w:r w:rsidR="003C5CD0">
        <w:t>Tebliğin 10 uncu maddesinin beşinci fıkrası “</w:t>
      </w:r>
      <w:r w:rsidR="003C5CD0" w:rsidRPr="003C5CD0">
        <w:rPr>
          <w:i/>
        </w:rPr>
        <w:t xml:space="preserve">Kurul, </w:t>
      </w:r>
      <w:proofErr w:type="spellStart"/>
      <w:r w:rsidR="003C5CD0" w:rsidRPr="003C5CD0">
        <w:rPr>
          <w:i/>
        </w:rPr>
        <w:t>VKŞ’den</w:t>
      </w:r>
      <w:proofErr w:type="spellEnd"/>
      <w:r w:rsidR="003C5CD0" w:rsidRPr="003C5CD0">
        <w:rPr>
          <w:i/>
        </w:rPr>
        <w:t xml:space="preserve"> kira sertifikalarına ilişkin ödeme yükümlülüklerinin yurt içinde yerleşik bir banka veya üçüncü bir tüzel kişi tarafından </w:t>
      </w:r>
      <w:r w:rsidR="003C5CD0" w:rsidRPr="003C5CD0">
        <w:rPr>
          <w:b/>
          <w:i/>
        </w:rPr>
        <w:t>garanti altına alınmasını</w:t>
      </w:r>
      <w:r w:rsidR="003C5CD0" w:rsidRPr="003C5CD0">
        <w:rPr>
          <w:i/>
        </w:rPr>
        <w:t xml:space="preserve">, yurt içinde satışın yalnızca nitelikli yatırımcılara yönelik olarak yapılmasını veya kira sertifikalarının, </w:t>
      </w:r>
      <w:proofErr w:type="spellStart"/>
      <w:r w:rsidR="003C5CD0" w:rsidRPr="003C5CD0">
        <w:rPr>
          <w:i/>
        </w:rPr>
        <w:t>VKŞ’nin</w:t>
      </w:r>
      <w:proofErr w:type="spellEnd"/>
      <w:r w:rsidR="003C5CD0" w:rsidRPr="003C5CD0">
        <w:rPr>
          <w:i/>
        </w:rPr>
        <w:t xml:space="preserve"> veya fon kullanıcılarının derecelendirilmesini talep edebilir.</w:t>
      </w:r>
      <w:r w:rsidR="003C5CD0">
        <w:t>” hükmünü amirdir. Bu hükmün mefhum</w:t>
      </w:r>
      <w:r w:rsidR="00C16AD7">
        <w:t>-</w:t>
      </w:r>
      <w:r w:rsidR="003C5CD0">
        <w:t xml:space="preserve">u muhalifinden </w:t>
      </w:r>
      <w:proofErr w:type="spellStart"/>
      <w:r w:rsidR="00C16AD7">
        <w:t>sukuk</w:t>
      </w:r>
      <w:proofErr w:type="spellEnd"/>
      <w:r w:rsidR="00C16AD7">
        <w:t xml:space="preserve"> işlemlerinde böyle bir garantinin söz konusu olmaması gerektiği sonucu çıkarılmalı ise de, ihraca dayanak sözleşmelerde bu tarz ifadelerin varlığını görmek de mümkün olabilmektedir. </w:t>
      </w:r>
    </w:p>
    <w:p w:rsidR="00065D99" w:rsidRDefault="006B3380" w:rsidP="00065D99">
      <w:pPr>
        <w:ind w:firstLine="708"/>
      </w:pPr>
      <w:r>
        <w:t xml:space="preserve">Özellikle emanet akitlerinde (vekâlet, vedia, ortaklık) vekil, </w:t>
      </w:r>
      <w:proofErr w:type="spellStart"/>
      <w:r>
        <w:t>mudârib</w:t>
      </w:r>
      <w:proofErr w:type="spellEnd"/>
      <w:r>
        <w:t xml:space="preserve"> ve ortağın teminatla yükümlü tutulması uygun görülmemiştir</w:t>
      </w:r>
      <w:r>
        <w:rPr>
          <w:rStyle w:val="DipnotBavurusu"/>
        </w:rPr>
        <w:footnoteReference w:id="48"/>
      </w:r>
      <w:r>
        <w:t>. Keza aynı husus 2008 kararlarında “</w:t>
      </w:r>
      <w:r w:rsidRPr="006B3380">
        <w:rPr>
          <w:i/>
        </w:rPr>
        <w:t xml:space="preserve">Bu konuda, </w:t>
      </w:r>
      <w:proofErr w:type="spellStart"/>
      <w:r w:rsidRPr="006B3380">
        <w:rPr>
          <w:i/>
        </w:rPr>
        <w:t>müşâreke</w:t>
      </w:r>
      <w:proofErr w:type="spellEnd"/>
      <w:r w:rsidRPr="006B3380">
        <w:rPr>
          <w:i/>
        </w:rPr>
        <w:t xml:space="preserve"> ortaklığı ve modern ortaklık türleriyle ilgili </w:t>
      </w:r>
      <w:r w:rsidRPr="006B3380">
        <w:rPr>
          <w:i/>
        </w:rPr>
        <w:lastRenderedPageBreak/>
        <w:t>olarak hazırlanan 12 numaralı standardın 3/1/6/2</w:t>
      </w:r>
      <w:r w:rsidRPr="006B3380">
        <w:rPr>
          <w:i/>
          <w:vertAlign w:val="superscript"/>
        </w:rPr>
        <w:footnoteReference w:id="49"/>
      </w:r>
      <w:r w:rsidRPr="006B3380">
        <w:rPr>
          <w:i/>
        </w:rPr>
        <w:t xml:space="preserve"> bendi ile garantiler / teminatlarla ilgili olarak hazırlanan 5 numaralı standardın 2/2/1</w:t>
      </w:r>
      <w:r w:rsidRPr="006B3380">
        <w:rPr>
          <w:i/>
          <w:vertAlign w:val="superscript"/>
        </w:rPr>
        <w:footnoteReference w:id="50"/>
      </w:r>
      <w:r w:rsidRPr="006B3380">
        <w:rPr>
          <w:i/>
        </w:rPr>
        <w:t xml:space="preserve"> ve 2/2/2</w:t>
      </w:r>
      <w:r w:rsidRPr="006B3380">
        <w:rPr>
          <w:i/>
          <w:vertAlign w:val="superscript"/>
        </w:rPr>
        <w:footnoteReference w:id="51"/>
      </w:r>
      <w:r w:rsidRPr="006B3380">
        <w:rPr>
          <w:i/>
        </w:rPr>
        <w:t xml:space="preserve"> bentleri dikkate alınmalıdır</w:t>
      </w:r>
      <w:r w:rsidRPr="006B3380">
        <w:t>.</w:t>
      </w:r>
      <w:r>
        <w:t>”</w:t>
      </w:r>
      <w:r>
        <w:rPr>
          <w:rStyle w:val="DipnotBavurusu"/>
        </w:rPr>
        <w:footnoteReference w:id="52"/>
      </w:r>
      <w:r>
        <w:t xml:space="preserve"> </w:t>
      </w:r>
      <w:proofErr w:type="gramStart"/>
      <w:r>
        <w:t>denmek</w:t>
      </w:r>
      <w:proofErr w:type="gramEnd"/>
      <w:r>
        <w:t xml:space="preserve"> suretiyle tekrarlanmış ve dipnotlarla </w:t>
      </w:r>
      <w:r w:rsidR="006869A0">
        <w:t>ilgili</w:t>
      </w:r>
      <w:r>
        <w:t xml:space="preserve"> standartlar</w:t>
      </w:r>
      <w:bookmarkStart w:id="0" w:name="_GoBack"/>
      <w:bookmarkEnd w:id="0"/>
      <w:r>
        <w:t>a atıf yapılmıştır.</w:t>
      </w:r>
    </w:p>
    <w:p w:rsidR="004F3972" w:rsidRDefault="006B3380" w:rsidP="006B3380">
      <w:pPr>
        <w:ind w:firstLine="708"/>
      </w:pPr>
      <w:r>
        <w:t xml:space="preserve">Eleştirilere konu bir garantinin İslam hukuku açısından kesinlikle caiz görülmediği açıktır. Dolayısıyla </w:t>
      </w:r>
      <w:r w:rsidR="002E0D0B">
        <w:t>konuya ilişkin mevzuatın böyle önemli bir hususu açıkta bırakması elbette mevzuatın eksikliği olarak değerlendirilebilir ve tabiidir ki eleştirilebilir. Oysa mevzuatın bu tür garantiler içerebilecek biçimde akdedilecek sözleşmelerin mutlak butlan (kesin hükümsüzlük) müeyyidesi ile karşılaşacağını açıkça hükme bağlaması gerekirdi.</w:t>
      </w:r>
    </w:p>
    <w:p w:rsidR="006A1398" w:rsidRDefault="002E0D0B" w:rsidP="00A130BE">
      <w:r>
        <w:tab/>
        <w:t xml:space="preserve">Her şeye rağmen, </w:t>
      </w:r>
      <w:r w:rsidRPr="002E0D0B">
        <w:t xml:space="preserve">ihracın tarafları, ihraç sürecinde yer alan hukukçular, icazetnameleri imza eden İslam hukukçuları ile denetim makamı pozisyonundaki Sermaye Piyasası Kurulu’nun </w:t>
      </w:r>
      <w:r>
        <w:t xml:space="preserve">konuyla ilgili olarak daha dikkatli sorumlu davranması ve kesin bir yasağın sözleşmeler aracılığıyla </w:t>
      </w:r>
      <w:r w:rsidR="006A1398">
        <w:t>irtikâbının</w:t>
      </w:r>
      <w:r>
        <w:t xml:space="preserve"> </w:t>
      </w:r>
      <w:r w:rsidR="006A1398">
        <w:t>engellenmesi gerektiği</w:t>
      </w:r>
      <w:r w:rsidRPr="002E0D0B">
        <w:t xml:space="preserve"> kanısındayız</w:t>
      </w:r>
      <w:r w:rsidR="006A1398">
        <w:t xml:space="preserve">. </w:t>
      </w:r>
    </w:p>
    <w:p w:rsidR="004F3972" w:rsidRDefault="006A1398" w:rsidP="006A1398">
      <w:pPr>
        <w:ind w:firstLine="708"/>
      </w:pPr>
      <w:r>
        <w:t xml:space="preserve">Bu açıdan yapılan eleştirileri haklı bulmak mümkün olsa dahi, bu tür hükümlere yer vermeyen son derece sağlıklı </w:t>
      </w:r>
      <w:proofErr w:type="spellStart"/>
      <w:r>
        <w:t>sukuk</w:t>
      </w:r>
      <w:proofErr w:type="spellEnd"/>
      <w:r>
        <w:t xml:space="preserve"> ihraçları yapıldığını da biliyoruz. </w:t>
      </w:r>
    </w:p>
    <w:p w:rsidR="00AD6339" w:rsidRDefault="00AD6339" w:rsidP="00A130BE"/>
    <w:p w:rsidR="00554A2B" w:rsidRDefault="007C4A85" w:rsidP="00F938F0">
      <w:pPr>
        <w:ind w:firstLine="708"/>
      </w:pPr>
      <w:r>
        <w:t>Yukarıda zikredilen bütün bu temel sorunlar çerçevesinde s</w:t>
      </w:r>
      <w:r w:rsidR="00F938F0">
        <w:t xml:space="preserve">on söz olarak şunu ifade edebiliriz ki, faizsiz finansın en önemli </w:t>
      </w:r>
      <w:proofErr w:type="gramStart"/>
      <w:r>
        <w:t>enstrümanlarından</w:t>
      </w:r>
      <w:proofErr w:type="gramEnd"/>
      <w:r w:rsidR="00F938F0">
        <w:t xml:space="preserve"> biri olduğu</w:t>
      </w:r>
      <w:r>
        <w:t xml:space="preserve"> tartışmasız</w:t>
      </w:r>
      <w:r w:rsidR="00F938F0">
        <w:t xml:space="preserve"> ve ülkemiz uygulamasında henüz çok yeni bir ürün olan </w:t>
      </w:r>
      <w:proofErr w:type="spellStart"/>
      <w:r w:rsidR="00F938F0">
        <w:t>sukukun</w:t>
      </w:r>
      <w:proofErr w:type="spellEnd"/>
      <w:r w:rsidR="00F938F0">
        <w:t>, haklı ya da haksız yapılan, son derece sert ve acımasız tenkitlere uğramasının üzücü olduğu kanısındayız.</w:t>
      </w:r>
      <w:r w:rsidR="00554A2B">
        <w:t xml:space="preserve"> </w:t>
      </w:r>
      <w:r w:rsidR="00AD6339">
        <w:t xml:space="preserve">Eleştirinin (özellikle İslam hukukçuları tarafından) daha </w:t>
      </w:r>
      <w:r w:rsidR="00AD6339">
        <w:lastRenderedPageBreak/>
        <w:t xml:space="preserve">yapıcı ve ıslah edici olması gerekir. Fakat haklı sayılabilecek </w:t>
      </w:r>
      <w:r w:rsidR="00554A2B">
        <w:t xml:space="preserve">eleştirileri </w:t>
      </w:r>
      <w:r w:rsidR="007E427A">
        <w:t>ya d</w:t>
      </w:r>
      <w:r w:rsidR="00AD6339">
        <w:t>a</w:t>
      </w:r>
      <w:r w:rsidR="007E427A">
        <w:t xml:space="preserve"> tartışmaları ortadan kaldırabilmek veya </w:t>
      </w:r>
      <w:r w:rsidR="00554A2B">
        <w:t>asgariye indirebilmek için kanun koyucunun</w:t>
      </w:r>
      <w:r w:rsidR="00751C48">
        <w:t xml:space="preserve"> (düzenleyici otoritenin)</w:t>
      </w:r>
      <w:r w:rsidR="00554A2B">
        <w:t>;</w:t>
      </w:r>
    </w:p>
    <w:p w:rsidR="00DD4FAA" w:rsidRPr="00094F30" w:rsidRDefault="00DD4FAA" w:rsidP="00DD4FAA">
      <w:pPr>
        <w:pStyle w:val="ListeParagraf"/>
        <w:ind w:left="1068"/>
        <w:rPr>
          <w:sz w:val="18"/>
          <w:szCs w:val="18"/>
        </w:rPr>
      </w:pPr>
    </w:p>
    <w:p w:rsidR="004F3972" w:rsidRDefault="00AD6339" w:rsidP="00094F30">
      <w:pPr>
        <w:pStyle w:val="ListeParagraf"/>
        <w:numPr>
          <w:ilvl w:val="0"/>
          <w:numId w:val="2"/>
        </w:numPr>
      </w:pPr>
      <w:r>
        <w:t>Öncelikle ve acilen m</w:t>
      </w:r>
      <w:r w:rsidR="00554A2B">
        <w:t xml:space="preserve">evzuattaki, </w:t>
      </w:r>
      <w:proofErr w:type="spellStart"/>
      <w:r w:rsidR="00554A2B">
        <w:t>faizsizlik</w:t>
      </w:r>
      <w:proofErr w:type="spellEnd"/>
      <w:r w:rsidR="00554A2B">
        <w:t xml:space="preserve"> prensiplerinin ihlaline neden olabilecek boşlukları doldurması, sözleşmelerde bu tarz hükümlere yer verilmesini kesin geçersizlik yaptırımına tâbi kılması,</w:t>
      </w:r>
    </w:p>
    <w:p w:rsidR="00094F30" w:rsidRPr="00094F30" w:rsidRDefault="00094F30" w:rsidP="00094F30">
      <w:pPr>
        <w:pStyle w:val="ListeParagraf"/>
        <w:ind w:left="1068"/>
        <w:rPr>
          <w:sz w:val="18"/>
          <w:szCs w:val="18"/>
        </w:rPr>
      </w:pPr>
    </w:p>
    <w:p w:rsidR="00554A2B" w:rsidRDefault="005C51EC" w:rsidP="00094F30">
      <w:pPr>
        <w:pStyle w:val="ListeParagraf"/>
        <w:numPr>
          <w:ilvl w:val="0"/>
          <w:numId w:val="2"/>
        </w:numPr>
      </w:pPr>
      <w:r>
        <w:t>H</w:t>
      </w:r>
      <w:r w:rsidR="00554A2B">
        <w:t xml:space="preserve">azine </w:t>
      </w:r>
      <w:proofErr w:type="spellStart"/>
      <w:r w:rsidR="00554A2B">
        <w:t>sukuklarının</w:t>
      </w:r>
      <w:proofErr w:type="spellEnd"/>
      <w:r w:rsidR="00554A2B">
        <w:t xml:space="preserve"> diğer </w:t>
      </w:r>
      <w:proofErr w:type="spellStart"/>
      <w:r w:rsidR="00554A2B">
        <w:t>sukuklar</w:t>
      </w:r>
      <w:proofErr w:type="spellEnd"/>
      <w:r w:rsidR="00554A2B">
        <w:t xml:space="preserve"> ile aynı mevzuat düzenlemel</w:t>
      </w:r>
      <w:r w:rsidR="007C4A85">
        <w:t xml:space="preserve">erine tâbi olmasının sağlaması veya ayrık mevzuatta da yukarıda belirtilen biçimde hükümler </w:t>
      </w:r>
      <w:proofErr w:type="spellStart"/>
      <w:r w:rsidR="007C4A85">
        <w:t>vaz’edilerek</w:t>
      </w:r>
      <w:proofErr w:type="spellEnd"/>
      <w:r w:rsidR="007C4A85">
        <w:t xml:space="preserve"> </w:t>
      </w:r>
      <w:proofErr w:type="spellStart"/>
      <w:r w:rsidR="007C4A85">
        <w:t>faizsizlik</w:t>
      </w:r>
      <w:proofErr w:type="spellEnd"/>
      <w:r w:rsidR="007C4A85">
        <w:t xml:space="preserve"> prensibinin </w:t>
      </w:r>
      <w:proofErr w:type="spellStart"/>
      <w:r w:rsidR="007C4A85">
        <w:t>öncelenmesi</w:t>
      </w:r>
      <w:proofErr w:type="spellEnd"/>
      <w:r w:rsidR="007C4A85">
        <w:t>,</w:t>
      </w:r>
    </w:p>
    <w:p w:rsidR="00094F30" w:rsidRPr="00094F30" w:rsidRDefault="00094F30" w:rsidP="00094F30">
      <w:pPr>
        <w:pStyle w:val="ListeParagraf"/>
        <w:ind w:left="1068"/>
        <w:rPr>
          <w:sz w:val="18"/>
          <w:szCs w:val="18"/>
        </w:rPr>
      </w:pPr>
    </w:p>
    <w:p w:rsidR="005C51EC" w:rsidRDefault="005C51EC" w:rsidP="00094F30">
      <w:pPr>
        <w:pStyle w:val="ListeParagraf"/>
        <w:numPr>
          <w:ilvl w:val="0"/>
          <w:numId w:val="2"/>
        </w:numPr>
      </w:pPr>
      <w:r w:rsidRPr="005C51EC">
        <w:t xml:space="preserve">Uygulamada, “devir alma taahhüdü” veya “geri alım taahhüdü” şeklinde </w:t>
      </w:r>
      <w:r w:rsidR="00EF21BB">
        <w:t xml:space="preserve">-kanımızca- </w:t>
      </w:r>
      <w:r w:rsidR="00EF21BB" w:rsidRPr="005C51EC">
        <w:t>hata</w:t>
      </w:r>
      <w:r w:rsidR="00EF21BB">
        <w:t>lı</w:t>
      </w:r>
      <w:r w:rsidR="00EF21BB" w:rsidRPr="005C51EC">
        <w:t xml:space="preserve"> (hukuka aykırı)</w:t>
      </w:r>
      <w:r w:rsidR="00EF21BB">
        <w:t xml:space="preserve"> olarak, </w:t>
      </w:r>
      <w:r w:rsidRPr="005C51EC">
        <w:t>satıcı (kaynak kuruluş) vaadi ile gerçekleştirildiği görül</w:t>
      </w:r>
      <w:r>
        <w:t>en</w:t>
      </w:r>
      <w:r w:rsidRPr="005C51EC">
        <w:t xml:space="preserve"> geri alım hakkının, </w:t>
      </w:r>
      <w:r w:rsidR="00EF21BB" w:rsidRPr="00EF21BB">
        <w:t>“geri alım hakkı sözleşmesi”</w:t>
      </w:r>
      <w:r w:rsidR="00EF21BB">
        <w:t xml:space="preserve"> ile düzenlenmesi,</w:t>
      </w:r>
      <w:r w:rsidRPr="005C51EC">
        <w:t xml:space="preserve"> </w:t>
      </w:r>
    </w:p>
    <w:p w:rsidR="00094F30" w:rsidRPr="00094F30" w:rsidRDefault="00094F30" w:rsidP="00094F30">
      <w:pPr>
        <w:pStyle w:val="ListeParagraf"/>
        <w:ind w:left="1068"/>
        <w:rPr>
          <w:sz w:val="18"/>
          <w:szCs w:val="18"/>
        </w:rPr>
      </w:pPr>
    </w:p>
    <w:p w:rsidR="00554A2B" w:rsidRDefault="005C51EC" w:rsidP="00094F30">
      <w:pPr>
        <w:pStyle w:val="ListeParagraf"/>
        <w:numPr>
          <w:ilvl w:val="0"/>
          <w:numId w:val="2"/>
        </w:numPr>
      </w:pPr>
      <w:r>
        <w:t>İ</w:t>
      </w:r>
      <w:r w:rsidR="00554A2B">
        <w:t>hraç sürecinde yer alacak kişilerin (hukukçu, finans</w:t>
      </w:r>
      <w:r w:rsidR="00234304">
        <w:t xml:space="preserve">çı, İslam hukukçusu ve özellikle </w:t>
      </w:r>
      <w:proofErr w:type="spellStart"/>
      <w:r w:rsidR="007C4A85">
        <w:t>izahname</w:t>
      </w:r>
      <w:proofErr w:type="spellEnd"/>
      <w:r w:rsidR="007C4A85">
        <w:t xml:space="preserve"> ve sözleşmeleri denetleyip, ihraca izin veren </w:t>
      </w:r>
      <w:r w:rsidR="00234304">
        <w:t>SPK yetkililerinin) daha yetkin olmasının sağlaması,</w:t>
      </w:r>
      <w:r w:rsidR="008C2438">
        <w:t xml:space="preserve"> </w:t>
      </w:r>
    </w:p>
    <w:p w:rsidR="00094F30" w:rsidRPr="00094F30" w:rsidRDefault="00094F30" w:rsidP="00094F30">
      <w:pPr>
        <w:pStyle w:val="ListeParagraf"/>
        <w:ind w:left="1068"/>
        <w:rPr>
          <w:sz w:val="18"/>
          <w:szCs w:val="18"/>
        </w:rPr>
      </w:pPr>
    </w:p>
    <w:p w:rsidR="004F3972" w:rsidRDefault="00234304" w:rsidP="00A130BE">
      <w:proofErr w:type="gramStart"/>
      <w:r>
        <w:t>gerekmektedir</w:t>
      </w:r>
      <w:proofErr w:type="gramEnd"/>
      <w:r>
        <w:t>.</w:t>
      </w:r>
    </w:p>
    <w:p w:rsidR="00DB1045" w:rsidRDefault="00DB1045" w:rsidP="00A130BE"/>
    <w:p w:rsidR="004053C8" w:rsidRDefault="00DB1045" w:rsidP="00DB1045">
      <w:pPr>
        <w:ind w:firstLine="708"/>
      </w:pPr>
      <w:r>
        <w:t>Âlimlerimizin çok hoş</w:t>
      </w:r>
      <w:r w:rsidR="004053C8">
        <w:t xml:space="preserve"> ve anlamlı</w:t>
      </w:r>
      <w:r>
        <w:t xml:space="preserve"> sonlandırma cümlesiyle bitirelim: “Her şeyin en doğrusunu Allah (CC) bilir.”</w:t>
      </w:r>
    </w:p>
    <w:sectPr w:rsidR="004053C8" w:rsidSect="00546278">
      <w:pgSz w:w="11906" w:h="16838"/>
      <w:pgMar w:top="1531"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A1" w:rsidRDefault="004972A1" w:rsidP="00AB5850">
      <w:pPr>
        <w:spacing w:after="0" w:line="240" w:lineRule="auto"/>
      </w:pPr>
      <w:r>
        <w:separator/>
      </w:r>
    </w:p>
  </w:endnote>
  <w:endnote w:type="continuationSeparator" w:id="0">
    <w:p w:rsidR="004972A1" w:rsidRDefault="004972A1" w:rsidP="00AB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A1" w:rsidRDefault="004972A1" w:rsidP="00AB5850">
      <w:pPr>
        <w:spacing w:after="0" w:line="240" w:lineRule="auto"/>
      </w:pPr>
      <w:r>
        <w:separator/>
      </w:r>
    </w:p>
  </w:footnote>
  <w:footnote w:type="continuationSeparator" w:id="0">
    <w:p w:rsidR="004972A1" w:rsidRDefault="004972A1" w:rsidP="00AB5850">
      <w:pPr>
        <w:spacing w:after="0" w:line="240" w:lineRule="auto"/>
      </w:pPr>
      <w:r>
        <w:continuationSeparator/>
      </w:r>
    </w:p>
  </w:footnote>
  <w:footnote w:id="1">
    <w:p w:rsidR="00354C9D" w:rsidRDefault="00354C9D">
      <w:pPr>
        <w:pStyle w:val="DipnotMetni"/>
      </w:pPr>
      <w:r>
        <w:rPr>
          <w:rStyle w:val="DipnotBavurusu"/>
        </w:rPr>
        <w:footnoteRef/>
      </w:r>
      <w:r>
        <w:t xml:space="preserve"> Tartışmalar ve değerlendirmeler, sahipliğe dayalı kira sertifikaları (</w:t>
      </w:r>
      <w:proofErr w:type="spellStart"/>
      <w:r>
        <w:t>icâra</w:t>
      </w:r>
      <w:proofErr w:type="spellEnd"/>
      <w:r>
        <w:t xml:space="preserve"> </w:t>
      </w:r>
      <w:proofErr w:type="spellStart"/>
      <w:r>
        <w:t>sukuk</w:t>
      </w:r>
      <w:proofErr w:type="spellEnd"/>
      <w:r>
        <w:t>) esas alınarak yapılmıştır.</w:t>
      </w:r>
    </w:p>
  </w:footnote>
  <w:footnote w:id="2">
    <w:p w:rsidR="00117AAC" w:rsidRDefault="00117AAC">
      <w:pPr>
        <w:pStyle w:val="DipnotMetni"/>
      </w:pPr>
      <w:r>
        <w:rPr>
          <w:rStyle w:val="DipnotBavurusu"/>
        </w:rPr>
        <w:footnoteRef/>
      </w:r>
      <w:r>
        <w:t xml:space="preserve"> Mutlu Avukatlık Ortaklığı –Ortak Avukat (</w:t>
      </w:r>
      <w:r w:rsidRPr="00117AAC">
        <w:rPr>
          <w:i/>
        </w:rPr>
        <w:t>Kuveyt Türk Katılım Bankası A.Ş. Hukuk Danışmanı</w:t>
      </w:r>
      <w:r>
        <w:t>)</w:t>
      </w:r>
    </w:p>
  </w:footnote>
  <w:footnote w:id="3">
    <w:p w:rsidR="00BC0C2C" w:rsidRDefault="00BC0C2C">
      <w:pPr>
        <w:pStyle w:val="DipnotMetni"/>
      </w:pPr>
      <w:r>
        <w:rPr>
          <w:rStyle w:val="DipnotBavurusu"/>
        </w:rPr>
        <w:footnoteRef/>
      </w:r>
      <w:r>
        <w:t xml:space="preserve"> Yazı içerisinde kullanımlarda, atıflar dışında orijinal kavram olan “</w:t>
      </w:r>
      <w:proofErr w:type="spellStart"/>
      <w:r>
        <w:t>sukuk</w:t>
      </w:r>
      <w:proofErr w:type="spellEnd"/>
      <w:r>
        <w:t>” tercih edilecektir.</w:t>
      </w:r>
    </w:p>
  </w:footnote>
  <w:footnote w:id="4">
    <w:p w:rsidR="00BC0C2C" w:rsidRDefault="00BC0C2C">
      <w:pPr>
        <w:pStyle w:val="DipnotMetni"/>
      </w:pPr>
      <w:r>
        <w:rPr>
          <w:rStyle w:val="DipnotBavurusu"/>
        </w:rPr>
        <w:footnoteRef/>
      </w:r>
      <w:r>
        <w:t xml:space="preserve"> Accounting </w:t>
      </w:r>
      <w:proofErr w:type="spellStart"/>
      <w:r>
        <w:t>A</w:t>
      </w:r>
      <w:r w:rsidRPr="00D710FD">
        <w:t>nd</w:t>
      </w:r>
      <w:proofErr w:type="spellEnd"/>
      <w:r w:rsidRPr="00D710FD">
        <w:t xml:space="preserve"> Auditing </w:t>
      </w:r>
      <w:proofErr w:type="spellStart"/>
      <w:r w:rsidRPr="00D710FD">
        <w:t>Organization</w:t>
      </w:r>
      <w:proofErr w:type="spellEnd"/>
      <w:r w:rsidRPr="00D710FD">
        <w:t xml:space="preserve"> </w:t>
      </w:r>
      <w:proofErr w:type="spellStart"/>
      <w:r w:rsidRPr="00D710FD">
        <w:t>for</w:t>
      </w:r>
      <w:proofErr w:type="spellEnd"/>
      <w:r w:rsidRPr="00D710FD">
        <w:t xml:space="preserve"> </w:t>
      </w:r>
      <w:proofErr w:type="spellStart"/>
      <w:r w:rsidRPr="00D710FD">
        <w:t>Islamic</w:t>
      </w:r>
      <w:proofErr w:type="spellEnd"/>
      <w:r w:rsidRPr="00D710FD">
        <w:t xml:space="preserve"> </w:t>
      </w:r>
      <w:proofErr w:type="spellStart"/>
      <w:r w:rsidRPr="00D710FD">
        <w:t>Institutions</w:t>
      </w:r>
      <w:proofErr w:type="spellEnd"/>
      <w:r>
        <w:t xml:space="preserve"> </w:t>
      </w:r>
    </w:p>
  </w:footnote>
  <w:footnote w:id="5">
    <w:p w:rsidR="00D9327B" w:rsidRDefault="00D9327B">
      <w:pPr>
        <w:pStyle w:val="DipnotMetni"/>
      </w:pPr>
      <w:r>
        <w:rPr>
          <w:rStyle w:val="DipnotBavurusu"/>
        </w:rPr>
        <w:footnoteRef/>
      </w:r>
      <w:r>
        <w:t xml:space="preserve"> </w:t>
      </w:r>
      <w:r w:rsidRPr="00D9327B">
        <w:t>AAOIFI</w:t>
      </w:r>
      <w:r>
        <w:t xml:space="preserve"> 2003 standartları /</w:t>
      </w:r>
      <w:r w:rsidRPr="00D9327B">
        <w:t xml:space="preserve"> </w:t>
      </w:r>
      <w:r w:rsidRPr="00D9327B">
        <w:rPr>
          <w:i/>
          <w:iCs/>
        </w:rPr>
        <w:t>Faizsiz Bankacılık Standartları</w:t>
      </w:r>
      <w:r w:rsidRPr="00D9327B">
        <w:t>, Çev. Mehmet Odabaşı / İ. Emin Aktepe, s</w:t>
      </w:r>
      <w:r>
        <w:t>:370</w:t>
      </w:r>
      <w:r w:rsidRPr="00D9327B">
        <w:t>, (17</w:t>
      </w:r>
      <w:r>
        <w:t xml:space="preserve"> no.lu </w:t>
      </w:r>
      <w:r w:rsidRPr="00D9327B">
        <w:t xml:space="preserve">standart </w:t>
      </w:r>
      <w:r>
        <w:t>2-</w:t>
      </w:r>
      <w:r w:rsidR="006410A9">
        <w:t>Yatırım Sertifikalarının Tanı</w:t>
      </w:r>
      <w:r w:rsidRPr="00D9327B">
        <w:t>mı), İstanbul</w:t>
      </w:r>
      <w:r>
        <w:t>,</w:t>
      </w:r>
      <w:r w:rsidRPr="00D9327B">
        <w:t xml:space="preserve"> TKBB Yayın No: 2, 2012.</w:t>
      </w:r>
    </w:p>
  </w:footnote>
  <w:footnote w:id="6">
    <w:p w:rsidR="00BC0C2C" w:rsidRDefault="00BC0C2C">
      <w:pPr>
        <w:pStyle w:val="DipnotMetni"/>
      </w:pPr>
      <w:r>
        <w:rPr>
          <w:rStyle w:val="DipnotBavurusu"/>
        </w:rPr>
        <w:footnoteRef/>
      </w:r>
      <w:r>
        <w:t xml:space="preserve"> Necdet ŞENSOY, Fıkhi Açıdan Finans ve Altın İşlemleri, Tebliğ ve Müzakereler, 2012</w:t>
      </w:r>
    </w:p>
  </w:footnote>
  <w:footnote w:id="7">
    <w:p w:rsidR="00BC0C2C" w:rsidRDefault="00BC0C2C">
      <w:pPr>
        <w:pStyle w:val="DipnotMetni"/>
      </w:pPr>
      <w:r>
        <w:rPr>
          <w:rStyle w:val="DipnotBavurusu"/>
        </w:rPr>
        <w:footnoteRef/>
      </w:r>
      <w:r>
        <w:t xml:space="preserve"> </w:t>
      </w:r>
      <w:r w:rsidRPr="00B82317">
        <w:t>Servet BAYINDIR</w:t>
      </w:r>
      <w:r>
        <w:t xml:space="preserve">, </w:t>
      </w:r>
      <w:r w:rsidRPr="00B82317">
        <w:t>15-18 Ekim 2015 tarihlerinde Konya'da düzenlenen "II. Uluslararası İslâm Ticaret Hukuku’nun Günümüzdeki Meseleleri Kongresi"</w:t>
      </w:r>
      <w:r>
        <w:t xml:space="preserve"> Tebliği.</w:t>
      </w:r>
    </w:p>
  </w:footnote>
  <w:footnote w:id="8">
    <w:p w:rsidR="00BC0C2C" w:rsidRDefault="00BC0C2C">
      <w:pPr>
        <w:pStyle w:val="DipnotMetni"/>
      </w:pPr>
      <w:r>
        <w:rPr>
          <w:rStyle w:val="DipnotBavurusu"/>
        </w:rPr>
        <w:footnoteRef/>
      </w:r>
      <w:r>
        <w:t xml:space="preserve"> Sermaye Piyasası Kanunu (SPK) m.61/1</w:t>
      </w:r>
    </w:p>
  </w:footnote>
  <w:footnote w:id="9">
    <w:p w:rsidR="00BC0C2C" w:rsidRDefault="00BC0C2C" w:rsidP="00B05BA3">
      <w:pPr>
        <w:pStyle w:val="DipnotMetni"/>
      </w:pPr>
      <w:r>
        <w:rPr>
          <w:rStyle w:val="DipnotBavurusu"/>
        </w:rPr>
        <w:footnoteRef/>
      </w:r>
      <w:r>
        <w:t xml:space="preserve"> </w:t>
      </w:r>
      <w:r w:rsidRPr="00837189">
        <w:t xml:space="preserve">Servet BAYINDIR, 15-18 Ekim 2015 tarihlerinde Konya'da düzenlenen "II. Uluslararası İslâm Ticaret Hukuku’nun Günümüzdeki Meseleleri Kongresi" </w:t>
      </w:r>
      <w:r>
        <w:t>sunumu.</w:t>
      </w:r>
    </w:p>
  </w:footnote>
  <w:footnote w:id="10">
    <w:p w:rsidR="00BC0C2C" w:rsidRDefault="00BC0C2C">
      <w:pPr>
        <w:pStyle w:val="DipnotMetni"/>
      </w:pPr>
      <w:r>
        <w:rPr>
          <w:rStyle w:val="DipnotBavurusu"/>
        </w:rPr>
        <w:footnoteRef/>
      </w:r>
      <w:r>
        <w:t xml:space="preserve"> AAOIFI </w:t>
      </w:r>
      <w:r w:rsidRPr="001E09AA">
        <w:t xml:space="preserve">17 numaralı standart kararları </w:t>
      </w:r>
      <w:proofErr w:type="spellStart"/>
      <w:r w:rsidRPr="001E09AA">
        <w:t>te</w:t>
      </w:r>
      <w:r>
        <w:t>’</w:t>
      </w:r>
      <w:r w:rsidRPr="001E09AA">
        <w:t>kid</w:t>
      </w:r>
      <w:proofErr w:type="spellEnd"/>
      <w:r w:rsidRPr="001E09AA">
        <w:t xml:space="preserve"> ede</w:t>
      </w:r>
      <w:r>
        <w:t xml:space="preserve">n Şubat 2008 tarihli </w:t>
      </w:r>
      <w:r w:rsidRPr="001E09AA">
        <w:t>tavsiye kararları</w:t>
      </w:r>
      <w:r w:rsidR="006410A9">
        <w:t xml:space="preserve">, </w:t>
      </w:r>
      <w:r>
        <w:t>karar no:1</w:t>
      </w:r>
      <w:r w:rsidR="006410A9">
        <w:t xml:space="preserve"> (</w:t>
      </w:r>
      <w:r w:rsidR="006410A9" w:rsidRPr="006410A9">
        <w:t>Mehmet ODABAŞI</w:t>
      </w:r>
      <w:r w:rsidR="006410A9">
        <w:t xml:space="preserve"> tercümesi</w:t>
      </w:r>
      <w:r>
        <w:t>)</w:t>
      </w:r>
    </w:p>
  </w:footnote>
  <w:footnote w:id="11">
    <w:p w:rsidR="00BC0C2C" w:rsidRPr="00B32119" w:rsidRDefault="00BC0C2C" w:rsidP="000C249C">
      <w:pPr>
        <w:pStyle w:val="DipnotMetni"/>
        <w:rPr>
          <w:i/>
        </w:rPr>
      </w:pPr>
      <w:r>
        <w:rPr>
          <w:rStyle w:val="DipnotBavurusu"/>
        </w:rPr>
        <w:footnoteRef/>
      </w:r>
      <w:r>
        <w:t xml:space="preserve"> “</w:t>
      </w:r>
      <w:r w:rsidRPr="00B32119">
        <w:rPr>
          <w:i/>
        </w:rPr>
        <w:t>Bu madde kapsamındaki ihraçlarda;</w:t>
      </w:r>
    </w:p>
    <w:p w:rsidR="00BC0C2C" w:rsidRPr="00B32119" w:rsidRDefault="00BC0C2C" w:rsidP="000C249C">
      <w:pPr>
        <w:pStyle w:val="DipnotMetni"/>
        <w:rPr>
          <w:i/>
        </w:rPr>
      </w:pPr>
      <w:r w:rsidRPr="00B32119">
        <w:rPr>
          <w:i/>
        </w:rPr>
        <w:t xml:space="preserve">a) Dayanak varlığın veya hakkın sahipliğinin </w:t>
      </w:r>
      <w:proofErr w:type="spellStart"/>
      <w:r w:rsidRPr="00B32119">
        <w:rPr>
          <w:i/>
        </w:rPr>
        <w:t>VKŞ’ye</w:t>
      </w:r>
      <w:proofErr w:type="spellEnd"/>
      <w:r w:rsidRPr="00B32119">
        <w:rPr>
          <w:i/>
        </w:rPr>
        <w:t xml:space="preserve"> devrine ilişkin sözleşme düzenlenmesi,</w:t>
      </w:r>
    </w:p>
    <w:p w:rsidR="00BC0C2C" w:rsidRPr="00B32119" w:rsidRDefault="00BC0C2C" w:rsidP="000C249C">
      <w:pPr>
        <w:pStyle w:val="DipnotMetni"/>
        <w:rPr>
          <w:i/>
        </w:rPr>
      </w:pPr>
      <w:r w:rsidRPr="00B32119">
        <w:rPr>
          <w:i/>
        </w:rPr>
        <w:t>b) Devre konu varlık ve hakların devrinin tescile veya ilgili mevzuat uyarınca özel şekil şartlarına tabi olması durumunda devir için gerekli işlemlerin yerine getirilmesi,</w:t>
      </w:r>
    </w:p>
    <w:p w:rsidR="00BC0C2C" w:rsidRPr="00B32119" w:rsidRDefault="00BC0C2C" w:rsidP="000C249C">
      <w:pPr>
        <w:pStyle w:val="DipnotMetni"/>
        <w:rPr>
          <w:i/>
        </w:rPr>
      </w:pPr>
      <w:r w:rsidRPr="00B32119">
        <w:rPr>
          <w:i/>
        </w:rPr>
        <w:t xml:space="preserve">c) </w:t>
      </w:r>
      <w:proofErr w:type="spellStart"/>
      <w:r w:rsidRPr="00B32119">
        <w:rPr>
          <w:i/>
        </w:rPr>
        <w:t>VKŞ’nin</w:t>
      </w:r>
      <w:proofErr w:type="spellEnd"/>
      <w:r w:rsidRPr="00B32119">
        <w:rPr>
          <w:i/>
        </w:rPr>
        <w:t xml:space="preserve"> temerrüt halinde varlık veya haklar üzerinde doğrudan tasarruf yetkisine sahip olması,</w:t>
      </w:r>
    </w:p>
    <w:p w:rsidR="00BC0C2C" w:rsidRDefault="00BC0C2C">
      <w:pPr>
        <w:pStyle w:val="DipnotMetni"/>
      </w:pPr>
      <w:r w:rsidRPr="00B32119">
        <w:rPr>
          <w:i/>
        </w:rPr>
        <w:t>zorunludur.</w:t>
      </w:r>
      <w:r>
        <w:t>”</w:t>
      </w:r>
      <w:r w:rsidRPr="000C249C">
        <w:t xml:space="preserve"> </w:t>
      </w:r>
      <w:r>
        <w:t>(Tebliğ m.5/2)</w:t>
      </w:r>
    </w:p>
  </w:footnote>
  <w:footnote w:id="12">
    <w:p w:rsidR="00BC0C2C" w:rsidRDefault="00BC0C2C">
      <w:pPr>
        <w:pStyle w:val="DipnotMetni"/>
      </w:pPr>
      <w:r>
        <w:rPr>
          <w:rStyle w:val="DipnotBavurusu"/>
        </w:rPr>
        <w:footnoteRef/>
      </w:r>
      <w:r>
        <w:t xml:space="preserve"> “</w:t>
      </w:r>
      <w:r w:rsidRPr="00B32119">
        <w:rPr>
          <w:i/>
        </w:rPr>
        <w:t xml:space="preserve">Varlık kiralama şirketi, </w:t>
      </w:r>
      <w:r w:rsidR="00B32119">
        <w:rPr>
          <w:i/>
        </w:rPr>
        <w:t xml:space="preserve">… </w:t>
      </w:r>
      <w:r w:rsidRPr="00B32119">
        <w:rPr>
          <w:i/>
        </w:rPr>
        <w:t xml:space="preserve">sahip olduğu varlıklar ve haklar üzerinde esas sözleşmesinde izin verilenler hariç olmak üzere, üçüncü kişiler lehine hiçbir ayni hak tesis edemez ve bunları kira sertifikası sahiplerinin menfaatlerine aykırı bir şekilde kiralayamaz veya devredemez. </w:t>
      </w:r>
      <w:r w:rsidR="00B32119">
        <w:rPr>
          <w:i/>
        </w:rPr>
        <w:t>…</w:t>
      </w:r>
      <w:r>
        <w:t>” (</w:t>
      </w:r>
      <w:proofErr w:type="spellStart"/>
      <w:r>
        <w:t>SPK</w:t>
      </w:r>
      <w:r w:rsidR="00B32119">
        <w:t>n</w:t>
      </w:r>
      <w:proofErr w:type="spellEnd"/>
      <w:r w:rsidR="00B32119">
        <w:t>.</w:t>
      </w:r>
      <w:r>
        <w:t xml:space="preserve"> m.61/3)</w:t>
      </w:r>
    </w:p>
  </w:footnote>
  <w:footnote w:id="13">
    <w:p w:rsidR="00BC0C2C" w:rsidRPr="00D00B02" w:rsidRDefault="00BC0C2C" w:rsidP="00D00B02">
      <w:pPr>
        <w:pStyle w:val="DipnotMetni"/>
      </w:pPr>
      <w:r>
        <w:rPr>
          <w:rStyle w:val="DipnotBavurusu"/>
        </w:rPr>
        <w:footnoteRef/>
      </w:r>
      <w:r>
        <w:t xml:space="preserve"> T</w:t>
      </w:r>
      <w:r w:rsidRPr="00D00B02">
        <w:t xml:space="preserve">apu kütüğüne şerh verilen alım ve geri alım hakları, </w:t>
      </w:r>
      <w:proofErr w:type="spellStart"/>
      <w:r w:rsidRPr="00D00B02">
        <w:t>şerhde</w:t>
      </w:r>
      <w:proofErr w:type="spellEnd"/>
      <w:r w:rsidRPr="00D00B02">
        <w:t xml:space="preserve"> belirtilen süre içinde her malike karşı kullanılabilir.</w:t>
      </w:r>
    </w:p>
    <w:p w:rsidR="00BC0C2C" w:rsidRDefault="00BC0C2C">
      <w:pPr>
        <w:pStyle w:val="DipnotMetni"/>
      </w:pPr>
      <w:r w:rsidRPr="00D00B02">
        <w:t>Şerhin etkisi, her durumda, şerhin verildiği tarihin üzerinden on yıl geçmekle sona erer.</w:t>
      </w:r>
      <w:r>
        <w:t xml:space="preserve"> (TMK m.736)</w:t>
      </w:r>
    </w:p>
  </w:footnote>
  <w:footnote w:id="14">
    <w:p w:rsidR="00220773" w:rsidRPr="00220773" w:rsidRDefault="00220773" w:rsidP="00220773">
      <w:pPr>
        <w:pStyle w:val="DipnotMetni"/>
        <w:rPr>
          <w:i/>
        </w:rPr>
      </w:pPr>
      <w:r>
        <w:rPr>
          <w:rStyle w:val="DipnotBavurusu"/>
        </w:rPr>
        <w:footnoteRef/>
      </w:r>
      <w:r>
        <w:t xml:space="preserve"> “</w:t>
      </w:r>
      <w:r w:rsidRPr="00220773">
        <w:rPr>
          <w:i/>
        </w:rPr>
        <w:t>Kanun veya kanunda öngörülen sözleşmeler uyarınca oluşan topluluk dolayısıyla mallara birlikte malik olanların mülkiyeti, elbirliği mülkiyetidir.</w:t>
      </w:r>
    </w:p>
    <w:p w:rsidR="00220773" w:rsidRDefault="00220773">
      <w:pPr>
        <w:pStyle w:val="DipnotMetni"/>
      </w:pPr>
      <w:r w:rsidRPr="00220773">
        <w:rPr>
          <w:i/>
        </w:rPr>
        <w:t>Elbirliği mülkiyetinde ortakların belirlenmiş payları olmayıp her birinin hakkı, ortaklığa giren malların tamamına yaygındır.</w:t>
      </w:r>
      <w:r>
        <w:t>” (TMK m.701)</w:t>
      </w:r>
    </w:p>
  </w:footnote>
  <w:footnote w:id="15">
    <w:p w:rsidR="00210388" w:rsidRPr="00210388" w:rsidRDefault="00210388" w:rsidP="00210388">
      <w:pPr>
        <w:pStyle w:val="DipnotMetni"/>
        <w:rPr>
          <w:i/>
        </w:rPr>
      </w:pPr>
      <w:r>
        <w:rPr>
          <w:rStyle w:val="DipnotBavurusu"/>
        </w:rPr>
        <w:footnoteRef/>
      </w:r>
      <w:r>
        <w:t xml:space="preserve"> “</w:t>
      </w:r>
      <w:r w:rsidRPr="00210388">
        <w:rPr>
          <w:i/>
        </w:rPr>
        <w:t xml:space="preserve">Yönetim, sözleşme veya kararla yalnızca bir veya birden çok ortağa ya da </w:t>
      </w:r>
      <w:r w:rsidRPr="00210388">
        <w:rPr>
          <w:b/>
          <w:i/>
        </w:rPr>
        <w:t>üçüncü bir kişiye bırakılmış olmadıkça</w:t>
      </w:r>
      <w:r w:rsidRPr="00210388">
        <w:rPr>
          <w:i/>
        </w:rPr>
        <w:t>, bütün ortaklar ortaklığı yönetme hakkına sahiptir.</w:t>
      </w:r>
    </w:p>
    <w:p w:rsidR="00210388" w:rsidRDefault="00210388">
      <w:pPr>
        <w:pStyle w:val="DipnotMetni"/>
      </w:pPr>
      <w:r w:rsidRPr="00D32855">
        <w:rPr>
          <w:b/>
          <w:i/>
        </w:rPr>
        <w:t>Ortaklığa genel yetkili bir temsilci atanması ve ortaklığın olağan dışı işlerinin yürütülmesi için, bütün ortakların oybirliği gereklidir</w:t>
      </w:r>
      <w:r w:rsidRPr="00210388">
        <w:rPr>
          <w:i/>
        </w:rPr>
        <w:t>. Ancak, gecikmesinde sakınca olan hâllerde, bu konuda yönetici ortaklardan her biri yetkilidir</w:t>
      </w:r>
      <w:r w:rsidRPr="00210388">
        <w:t>.</w:t>
      </w:r>
      <w:r>
        <w:t>” (TBK m.625</w:t>
      </w:r>
      <w:r w:rsidR="00D32855">
        <w:t>/1 ve 3</w:t>
      </w:r>
      <w:r>
        <w:t>)</w:t>
      </w:r>
    </w:p>
  </w:footnote>
  <w:footnote w:id="16">
    <w:p w:rsidR="006E413E" w:rsidRDefault="006E413E">
      <w:pPr>
        <w:pStyle w:val="DipnotMetni"/>
      </w:pPr>
      <w:r>
        <w:rPr>
          <w:rStyle w:val="DipnotBavurusu"/>
        </w:rPr>
        <w:footnoteRef/>
      </w:r>
      <w:r>
        <w:t xml:space="preserve"> “</w:t>
      </w:r>
      <w:r w:rsidRPr="006E413E">
        <w:rPr>
          <w:i/>
        </w:rPr>
        <w:t xml:space="preserve">Varlık kiralama şirketi, Kurul tarafından uygun görüş verilen esas sözleşmesinde belirtilen faaliyetler dışında herhangi bir ticari faaliyetle uğraşamayacağı gibi sahip olduğu varlıklar ve haklar üzerinde esas sözleşmesinde izin verilenler hariç olmak üzere, üçüncü kişiler lehine hiçbir ayni hak tesis edemez ve bunları </w:t>
      </w:r>
      <w:r w:rsidRPr="006E413E">
        <w:rPr>
          <w:i/>
          <w:u w:val="single"/>
        </w:rPr>
        <w:t>kira sertifikası sahiplerinin menfaatlerine aykırı bir şekilde</w:t>
      </w:r>
      <w:r w:rsidRPr="006E413E">
        <w:rPr>
          <w:i/>
        </w:rPr>
        <w:t xml:space="preserve"> kiralayamaz veya devredemez. Kira sertifikaları itfa edilinceye kadar, </w:t>
      </w:r>
      <w:r w:rsidRPr="006E413E">
        <w:rPr>
          <w:i/>
          <w:u w:val="single"/>
        </w:rPr>
        <w:t>varlık kiralama şirketinin portföyünde yer alan varlıklar ve haklar</w:t>
      </w:r>
      <w:r w:rsidRPr="006E413E">
        <w:rPr>
          <w:i/>
        </w:rPr>
        <w:t xml:space="preserve">, ihraççının yönetiminin veya denetiminin kamu kurumlarına devredilmesi hâlinde dahi teminat amacı dışında </w:t>
      </w:r>
      <w:r w:rsidRPr="006E413E">
        <w:rPr>
          <w:i/>
          <w:u w:val="single"/>
        </w:rPr>
        <w:t xml:space="preserve">tasarruf edilemez, </w:t>
      </w:r>
      <w:proofErr w:type="spellStart"/>
      <w:r w:rsidRPr="006E413E">
        <w:rPr>
          <w:i/>
          <w:u w:val="single"/>
        </w:rPr>
        <w:t>rehnedilemez</w:t>
      </w:r>
      <w:proofErr w:type="spellEnd"/>
      <w:r w:rsidRPr="006E413E">
        <w:rPr>
          <w:i/>
          <w:u w:val="single"/>
        </w:rPr>
        <w:t>, teminat gösterilemez, kamu alacaklarının tahsili amacı da dâhil olmak üzere haczedilemez, iflas masasına dâhil edilemez, ayrıca bunlar hakkında ihtiyati tedbir kararı verilemez</w:t>
      </w:r>
      <w:r w:rsidRPr="006E413E">
        <w:rPr>
          <w:i/>
        </w:rPr>
        <w:t>.</w:t>
      </w:r>
      <w:r>
        <w:t>” (</w:t>
      </w:r>
      <w:proofErr w:type="spellStart"/>
      <w:r>
        <w:t>SPKn</w:t>
      </w:r>
      <w:proofErr w:type="spellEnd"/>
      <w:r>
        <w:t xml:space="preserve"> m.61/3)</w:t>
      </w:r>
    </w:p>
  </w:footnote>
  <w:footnote w:id="17">
    <w:p w:rsidR="003D4AE4" w:rsidRDefault="003D4AE4">
      <w:pPr>
        <w:pStyle w:val="DipnotMetni"/>
      </w:pPr>
      <w:r>
        <w:rPr>
          <w:rStyle w:val="DipnotBavurusu"/>
        </w:rPr>
        <w:footnoteRef/>
      </w:r>
      <w:r>
        <w:t xml:space="preserve"> </w:t>
      </w:r>
      <w:r w:rsidRPr="003D4AE4">
        <w:t xml:space="preserve">VKŞ bazı ihraç türlerinde bu yönetim hak ve yetkisini de </w:t>
      </w:r>
      <w:r>
        <w:t xml:space="preserve">Kaynak Kuruluşa ya da üçüncü kişilere </w:t>
      </w:r>
      <w:r w:rsidRPr="003D4AE4">
        <w:t>devir edebilmektedir.</w:t>
      </w:r>
    </w:p>
  </w:footnote>
  <w:footnote w:id="18">
    <w:p w:rsidR="00BC0C2C" w:rsidRDefault="00BC0C2C" w:rsidP="006333BA">
      <w:pPr>
        <w:pStyle w:val="DipnotMetni"/>
      </w:pPr>
      <w:r>
        <w:rPr>
          <w:rStyle w:val="DipnotBavurusu"/>
        </w:rPr>
        <w:footnoteRef/>
      </w:r>
      <w:r>
        <w:t xml:space="preserve"> “</w:t>
      </w:r>
      <w:proofErr w:type="spellStart"/>
      <w:r w:rsidRPr="00B31B3A">
        <w:t>İcare</w:t>
      </w:r>
      <w:proofErr w:type="spellEnd"/>
      <w:r w:rsidRPr="00B31B3A">
        <w:t xml:space="preserve"> </w:t>
      </w:r>
      <w:proofErr w:type="spellStart"/>
      <w:r w:rsidRPr="00B31B3A">
        <w:t>sukuku</w:t>
      </w:r>
      <w:proofErr w:type="spellEnd"/>
      <w:r w:rsidRPr="00B31B3A">
        <w:t xml:space="preserve">, gerçekte, klasik fıkıh kaynaklarında derin tartışmalara konu edilen </w:t>
      </w:r>
      <w:proofErr w:type="spellStart"/>
      <w:r w:rsidRPr="00B31B3A">
        <w:t>beyu’l-vefânın</w:t>
      </w:r>
      <w:proofErr w:type="spellEnd"/>
      <w:r w:rsidRPr="00B31B3A">
        <w:t xml:space="preserve"> türevi mahiyetindeki </w:t>
      </w:r>
      <w:proofErr w:type="spellStart"/>
      <w:r w:rsidRPr="00B31B3A">
        <w:t>beyu’l-istiğlâlin</w:t>
      </w:r>
      <w:proofErr w:type="spellEnd"/>
      <w:r w:rsidRPr="00B31B3A">
        <w:t xml:space="preserve"> günümüzün modern faizsiz finansal ürünü olarak piyasaya sürülmüş halinden ibarettir</w:t>
      </w:r>
      <w:r>
        <w:t>”</w:t>
      </w:r>
      <w:r w:rsidRPr="00B31B3A">
        <w:t xml:space="preserve"> </w:t>
      </w:r>
      <w:r>
        <w:t>(</w:t>
      </w:r>
      <w:r w:rsidRPr="00B31B3A">
        <w:t>Servet BAYINDIR, 15-18 Ekim 2015 tarihlerinde Konya'da düzenlenen "II. Uluslararası İslâm Ticaret Hukuku’nun Günümüzdeki Meseleleri Kongresi"</w:t>
      </w:r>
      <w:r>
        <w:t>)</w:t>
      </w:r>
    </w:p>
  </w:footnote>
  <w:footnote w:id="19">
    <w:p w:rsidR="00BC0C2C" w:rsidRDefault="00BC0C2C" w:rsidP="006333BA">
      <w:pPr>
        <w:pStyle w:val="DipnotMetni"/>
      </w:pPr>
      <w:r>
        <w:rPr>
          <w:rStyle w:val="DipnotBavurusu"/>
        </w:rPr>
        <w:footnoteRef/>
      </w:r>
      <w:r>
        <w:t xml:space="preserve"> Abdülaziz BAYINDIR, İslam Ansiklopedisi, BEY‘ </w:t>
      </w:r>
      <w:proofErr w:type="spellStart"/>
      <w:r>
        <w:t>bi’l</w:t>
      </w:r>
      <w:proofErr w:type="spellEnd"/>
      <w:r>
        <w:t>-VEFÂ yıl: 1992, cilt: 6, sayfa: 20</w:t>
      </w:r>
    </w:p>
  </w:footnote>
  <w:footnote w:id="20">
    <w:p w:rsidR="00BC0C2C" w:rsidRDefault="00BC0C2C" w:rsidP="006333BA">
      <w:pPr>
        <w:pStyle w:val="DipnotMetni"/>
      </w:pPr>
      <w:r>
        <w:rPr>
          <w:rStyle w:val="DipnotBavurusu"/>
        </w:rPr>
        <w:footnoteRef/>
      </w:r>
      <w:r>
        <w:t xml:space="preserve"> </w:t>
      </w:r>
      <w:r w:rsidRPr="004A602C">
        <w:t xml:space="preserve">Abdülaziz BAYINDIR, İslam Ansiklopedisi, BEY‘ </w:t>
      </w:r>
      <w:proofErr w:type="spellStart"/>
      <w:r w:rsidRPr="004A602C">
        <w:t>bi’l</w:t>
      </w:r>
      <w:proofErr w:type="spellEnd"/>
      <w:r w:rsidRPr="004A602C">
        <w:t xml:space="preserve">-VEFÂ </w:t>
      </w:r>
      <w:r>
        <w:t>yıl: 1992, cilt: 6, sayfa: 20</w:t>
      </w:r>
    </w:p>
  </w:footnote>
  <w:footnote w:id="21">
    <w:p w:rsidR="00F93E31" w:rsidRDefault="00F93E31" w:rsidP="00F93E31">
      <w:pPr>
        <w:pStyle w:val="DipnotMetni"/>
      </w:pPr>
      <w:r>
        <w:rPr>
          <w:rStyle w:val="DipnotBavurusu"/>
        </w:rPr>
        <w:footnoteRef/>
      </w:r>
      <w:r>
        <w:t xml:space="preserve"> </w:t>
      </w:r>
      <w:r w:rsidRPr="00E259EE">
        <w:t xml:space="preserve">Abdülaziz BAYINDIR, İslam Ansiklopedisi, BEY‘ </w:t>
      </w:r>
      <w:proofErr w:type="spellStart"/>
      <w:r w:rsidRPr="00E259EE">
        <w:t>bi’l</w:t>
      </w:r>
      <w:proofErr w:type="spellEnd"/>
      <w:r w:rsidRPr="00E259EE">
        <w:t>-VE</w:t>
      </w:r>
      <w:r>
        <w:t>FÂ yıl: 1992, cilt: 6, sayfa: 22</w:t>
      </w:r>
    </w:p>
  </w:footnote>
  <w:footnote w:id="22">
    <w:p w:rsidR="00BC0C2C" w:rsidRDefault="00BC0C2C">
      <w:pPr>
        <w:pStyle w:val="DipnotMetni"/>
      </w:pPr>
      <w:r>
        <w:rPr>
          <w:rStyle w:val="DipnotBavurusu"/>
        </w:rPr>
        <w:footnoteRef/>
      </w:r>
      <w:r>
        <w:t xml:space="preserve"> “</w:t>
      </w:r>
      <w:r w:rsidRPr="0056490D">
        <w:rPr>
          <w:i/>
        </w:rPr>
        <w:t xml:space="preserve">Cevdet Paşa merhum </w:t>
      </w:r>
      <w:proofErr w:type="spellStart"/>
      <w:r w:rsidRPr="0056490D">
        <w:rPr>
          <w:i/>
        </w:rPr>
        <w:t>bey'ü’l-vefânın</w:t>
      </w:r>
      <w:proofErr w:type="spellEnd"/>
      <w:r w:rsidRPr="0056490D">
        <w:rPr>
          <w:i/>
        </w:rPr>
        <w:t xml:space="preserve"> </w:t>
      </w:r>
      <w:proofErr w:type="spellStart"/>
      <w:r w:rsidRPr="0056490D">
        <w:rPr>
          <w:i/>
        </w:rPr>
        <w:t>tamâmiyyetinde</w:t>
      </w:r>
      <w:proofErr w:type="spellEnd"/>
      <w:r w:rsidRPr="0056490D">
        <w:rPr>
          <w:i/>
        </w:rPr>
        <w:t xml:space="preserve"> teslim şart olmadığına </w:t>
      </w:r>
      <w:proofErr w:type="spellStart"/>
      <w:r w:rsidRPr="0056490D">
        <w:rPr>
          <w:i/>
        </w:rPr>
        <w:t>dâir</w:t>
      </w:r>
      <w:proofErr w:type="spellEnd"/>
      <w:r w:rsidRPr="0056490D">
        <w:rPr>
          <w:i/>
        </w:rPr>
        <w:t xml:space="preserve"> bir risâle </w:t>
      </w:r>
      <w:proofErr w:type="spellStart"/>
      <w:r w:rsidRPr="0056490D">
        <w:rPr>
          <w:i/>
        </w:rPr>
        <w:t>te’lîf</w:t>
      </w:r>
      <w:proofErr w:type="spellEnd"/>
      <w:r w:rsidRPr="0056490D">
        <w:rPr>
          <w:i/>
        </w:rPr>
        <w:t xml:space="preserve"> eylemiş ise de </w:t>
      </w:r>
      <w:proofErr w:type="spellStart"/>
      <w:r w:rsidRPr="0056490D">
        <w:rPr>
          <w:i/>
        </w:rPr>
        <w:t>Fetvâhâne</w:t>
      </w:r>
      <w:proofErr w:type="spellEnd"/>
      <w:r w:rsidRPr="0056490D">
        <w:rPr>
          <w:i/>
        </w:rPr>
        <w:t xml:space="preserve">-i </w:t>
      </w:r>
      <w:proofErr w:type="spellStart"/>
      <w:r w:rsidRPr="0056490D">
        <w:rPr>
          <w:i/>
        </w:rPr>
        <w:t>âlî</w:t>
      </w:r>
      <w:proofErr w:type="spellEnd"/>
      <w:r w:rsidRPr="0056490D">
        <w:rPr>
          <w:i/>
        </w:rPr>
        <w:t xml:space="preserve"> </w:t>
      </w:r>
      <w:proofErr w:type="spellStart"/>
      <w:r w:rsidRPr="0056490D">
        <w:rPr>
          <w:i/>
        </w:rPr>
        <w:t>tasvîb</w:t>
      </w:r>
      <w:proofErr w:type="spellEnd"/>
      <w:r w:rsidRPr="0056490D">
        <w:rPr>
          <w:i/>
        </w:rPr>
        <w:t xml:space="preserve"> etmemiştir</w:t>
      </w:r>
      <w:r w:rsidRPr="0056490D">
        <w:t>.</w:t>
      </w:r>
      <w:r>
        <w:t>” (</w:t>
      </w:r>
      <w:r w:rsidRPr="0056490D">
        <w:t xml:space="preserve">Ali Haydar Efendi, </w:t>
      </w:r>
      <w:proofErr w:type="spellStart"/>
      <w:r w:rsidRPr="0056490D">
        <w:t>Şerhu</w:t>
      </w:r>
      <w:proofErr w:type="spellEnd"/>
      <w:r w:rsidRPr="0056490D">
        <w:t xml:space="preserve"> </w:t>
      </w:r>
      <w:proofErr w:type="spellStart"/>
      <w:r w:rsidRPr="0056490D">
        <w:t>Mecelleti’l</w:t>
      </w:r>
      <w:proofErr w:type="spellEnd"/>
      <w:r w:rsidRPr="0056490D">
        <w:t xml:space="preserve"> ahkâm c. 1 s: </w:t>
      </w:r>
      <w:r>
        <w:t>139-dip not)</w:t>
      </w:r>
    </w:p>
  </w:footnote>
  <w:footnote w:id="23">
    <w:p w:rsidR="00BC0C2C" w:rsidRDefault="00BC0C2C">
      <w:pPr>
        <w:pStyle w:val="DipnotMetni"/>
      </w:pPr>
      <w:r>
        <w:rPr>
          <w:rStyle w:val="DipnotBavurusu"/>
        </w:rPr>
        <w:footnoteRef/>
      </w:r>
      <w:r>
        <w:t xml:space="preserve"> “</w:t>
      </w:r>
      <w:r w:rsidRPr="0056490D">
        <w:t>[</w:t>
      </w:r>
      <w:proofErr w:type="spellStart"/>
      <w:r w:rsidRPr="0056490D">
        <w:t>Vefâ’en</w:t>
      </w:r>
      <w:proofErr w:type="spellEnd"/>
      <w:r w:rsidRPr="0056490D">
        <w:t xml:space="preserve"> satılan malın] </w:t>
      </w:r>
      <w:proofErr w:type="spellStart"/>
      <w:r w:rsidRPr="0056490D">
        <w:t>yevm</w:t>
      </w:r>
      <w:proofErr w:type="spellEnd"/>
      <w:r w:rsidRPr="0056490D">
        <w:t xml:space="preserve">-i kabızdaki [kıymeti </w:t>
      </w:r>
      <w:proofErr w:type="spellStart"/>
      <w:r w:rsidRPr="0056490D">
        <w:t>deyne</w:t>
      </w:r>
      <w:proofErr w:type="spellEnd"/>
      <w:r w:rsidRPr="0056490D">
        <w:t xml:space="preserve"> </w:t>
      </w:r>
      <w:proofErr w:type="spellStart"/>
      <w:r w:rsidRPr="0056490D">
        <w:t>müsâvî</w:t>
      </w:r>
      <w:proofErr w:type="spellEnd"/>
      <w:r w:rsidRPr="0056490D">
        <w:t xml:space="preserve"> olduğu halde müşteri yedinde] kâmilen [telef olsa] veya müşteri onu itlâf etse [mukabili olan </w:t>
      </w:r>
      <w:proofErr w:type="spellStart"/>
      <w:r w:rsidRPr="0056490D">
        <w:t>deyn</w:t>
      </w:r>
      <w:proofErr w:type="spellEnd"/>
      <w:r w:rsidRPr="0056490D">
        <w:t xml:space="preserve"> </w:t>
      </w:r>
      <w:proofErr w:type="spellStart"/>
      <w:r w:rsidRPr="0056490D">
        <w:t>sâkıt</w:t>
      </w:r>
      <w:proofErr w:type="spellEnd"/>
      <w:r w:rsidRPr="0056490D">
        <w:t xml:space="preserve">] ve </w:t>
      </w:r>
      <w:proofErr w:type="spellStart"/>
      <w:r w:rsidRPr="0056490D">
        <w:t>bâyi</w:t>
      </w:r>
      <w:proofErr w:type="spellEnd"/>
      <w:r w:rsidRPr="0056490D">
        <w:t xml:space="preserve">' ol </w:t>
      </w:r>
      <w:proofErr w:type="spellStart"/>
      <w:r w:rsidRPr="0056490D">
        <w:t>deynden</w:t>
      </w:r>
      <w:proofErr w:type="spellEnd"/>
      <w:r w:rsidRPr="0056490D">
        <w:t xml:space="preserve"> beri [olur.]</w:t>
      </w:r>
      <w:r>
        <w:t>”</w:t>
      </w:r>
    </w:p>
  </w:footnote>
  <w:footnote w:id="24">
    <w:p w:rsidR="00BC0C2C" w:rsidRDefault="00BC0C2C">
      <w:pPr>
        <w:pStyle w:val="DipnotMetni"/>
      </w:pPr>
      <w:r>
        <w:rPr>
          <w:rStyle w:val="DipnotBavurusu"/>
        </w:rPr>
        <w:footnoteRef/>
      </w:r>
      <w:r>
        <w:t xml:space="preserve"> “</w:t>
      </w:r>
      <w:r w:rsidRPr="0056490D">
        <w:t>[</w:t>
      </w:r>
      <w:proofErr w:type="spellStart"/>
      <w:r w:rsidRPr="0056490D">
        <w:t>Vefâ’en</w:t>
      </w:r>
      <w:proofErr w:type="spellEnd"/>
      <w:r w:rsidRPr="0056490D">
        <w:t xml:space="preserve"> satılan malın] </w:t>
      </w:r>
      <w:proofErr w:type="spellStart"/>
      <w:r w:rsidRPr="0056490D">
        <w:t>yevm</w:t>
      </w:r>
      <w:proofErr w:type="spellEnd"/>
      <w:r w:rsidRPr="0056490D">
        <w:t xml:space="preserve">-i kabızdaki [kıymeti </w:t>
      </w:r>
      <w:proofErr w:type="spellStart"/>
      <w:r w:rsidRPr="0056490D">
        <w:t>deynden</w:t>
      </w:r>
      <w:proofErr w:type="spellEnd"/>
      <w:r w:rsidRPr="0056490D">
        <w:t xml:space="preserve"> nakıs olduğu halde müşteri yedinde telef olsa,] mezkûr malın </w:t>
      </w:r>
      <w:proofErr w:type="spellStart"/>
      <w:r w:rsidRPr="0056490D">
        <w:t>yevm</w:t>
      </w:r>
      <w:proofErr w:type="spellEnd"/>
      <w:r w:rsidRPr="0056490D">
        <w:t xml:space="preserve">-i kabızdaki [kıymeti </w:t>
      </w:r>
      <w:proofErr w:type="spellStart"/>
      <w:r w:rsidRPr="0056490D">
        <w:t>miktârı</w:t>
      </w:r>
      <w:proofErr w:type="spellEnd"/>
      <w:r w:rsidRPr="0056490D">
        <w:t xml:space="preserve"> </w:t>
      </w:r>
      <w:proofErr w:type="spellStart"/>
      <w:r w:rsidRPr="0056490D">
        <w:t>deynden</w:t>
      </w:r>
      <w:proofErr w:type="spellEnd"/>
      <w:r w:rsidRPr="0056490D">
        <w:t xml:space="preserve"> </w:t>
      </w:r>
      <w:proofErr w:type="spellStart"/>
      <w:r w:rsidRPr="0056490D">
        <w:t>sâkıt</w:t>
      </w:r>
      <w:proofErr w:type="spellEnd"/>
      <w:r w:rsidRPr="0056490D">
        <w:t xml:space="preserve"> olur. Ve</w:t>
      </w:r>
      <w:proofErr w:type="gramStart"/>
      <w:r w:rsidRPr="0056490D">
        <w:t>]</w:t>
      </w:r>
      <w:proofErr w:type="gramEnd"/>
      <w:r w:rsidRPr="0056490D">
        <w:t xml:space="preserve"> </w:t>
      </w:r>
      <w:proofErr w:type="spellStart"/>
      <w:r w:rsidRPr="0056490D">
        <w:t>deynin</w:t>
      </w:r>
      <w:proofErr w:type="spellEnd"/>
      <w:r w:rsidRPr="0056490D">
        <w:t xml:space="preserve"> [üst tarafını dahi müşteri </w:t>
      </w:r>
      <w:proofErr w:type="spellStart"/>
      <w:r w:rsidRPr="0056490D">
        <w:t>bâyi‘den</w:t>
      </w:r>
      <w:proofErr w:type="spellEnd"/>
      <w:r w:rsidRPr="0056490D">
        <w:t xml:space="preserve"> </w:t>
      </w:r>
      <w:proofErr w:type="spellStart"/>
      <w:r w:rsidRPr="0056490D">
        <w:t>ahz</w:t>
      </w:r>
      <w:proofErr w:type="spellEnd"/>
      <w:r w:rsidRPr="0056490D">
        <w:t xml:space="preserve"> ve </w:t>
      </w:r>
      <w:proofErr w:type="spellStart"/>
      <w:r w:rsidRPr="0056490D">
        <w:t>istirdâd</w:t>
      </w:r>
      <w:proofErr w:type="spellEnd"/>
      <w:r w:rsidRPr="0056490D">
        <w:t xml:space="preserve"> eyler.]</w:t>
      </w:r>
      <w:r>
        <w:t>”</w:t>
      </w:r>
    </w:p>
  </w:footnote>
  <w:footnote w:id="25">
    <w:p w:rsidR="00BC0C2C" w:rsidRDefault="00BC0C2C">
      <w:pPr>
        <w:pStyle w:val="DipnotMetni"/>
      </w:pPr>
      <w:r>
        <w:rPr>
          <w:rStyle w:val="DipnotBavurusu"/>
        </w:rPr>
        <w:footnoteRef/>
      </w:r>
      <w:r>
        <w:t xml:space="preserve"> “</w:t>
      </w:r>
      <w:r w:rsidRPr="0056490D">
        <w:t>[</w:t>
      </w:r>
      <w:proofErr w:type="spellStart"/>
      <w:r w:rsidRPr="0056490D">
        <w:t>Vefâ’en</w:t>
      </w:r>
      <w:proofErr w:type="spellEnd"/>
      <w:r w:rsidRPr="0056490D">
        <w:t xml:space="preserve"> satılan malın] </w:t>
      </w:r>
      <w:proofErr w:type="spellStart"/>
      <w:r w:rsidRPr="0056490D">
        <w:t>yevm</w:t>
      </w:r>
      <w:proofErr w:type="spellEnd"/>
      <w:r w:rsidRPr="0056490D">
        <w:t xml:space="preserve">-i kabızdaki [kıymeti </w:t>
      </w:r>
      <w:proofErr w:type="spellStart"/>
      <w:r w:rsidRPr="0056490D">
        <w:t>deynden</w:t>
      </w:r>
      <w:proofErr w:type="spellEnd"/>
      <w:r w:rsidRPr="0056490D">
        <w:t xml:space="preserve"> </w:t>
      </w:r>
      <w:proofErr w:type="spellStart"/>
      <w:r w:rsidRPr="0056490D">
        <w:t>ziyâde</w:t>
      </w:r>
      <w:proofErr w:type="spellEnd"/>
      <w:r w:rsidRPr="0056490D">
        <w:t xml:space="preserve"> olduğu halde müşteri yedinde telef olsa,] mezkûr malın [kıymetinden </w:t>
      </w:r>
      <w:proofErr w:type="spellStart"/>
      <w:r w:rsidRPr="0056490D">
        <w:t>deyn</w:t>
      </w:r>
      <w:proofErr w:type="spellEnd"/>
      <w:r w:rsidRPr="0056490D">
        <w:t xml:space="preserve"> mukabili olan </w:t>
      </w:r>
      <w:proofErr w:type="spellStart"/>
      <w:r w:rsidRPr="0056490D">
        <w:t>miktârı</w:t>
      </w:r>
      <w:proofErr w:type="spellEnd"/>
      <w:r w:rsidRPr="0056490D">
        <w:t xml:space="preserve"> </w:t>
      </w:r>
      <w:proofErr w:type="spellStart"/>
      <w:r w:rsidRPr="0056490D">
        <w:t>sâkıt</w:t>
      </w:r>
      <w:proofErr w:type="spellEnd"/>
      <w:r w:rsidRPr="0056490D">
        <w:t xml:space="preserve"> olur.]</w:t>
      </w:r>
      <w:r>
        <w:t>”</w:t>
      </w:r>
    </w:p>
  </w:footnote>
  <w:footnote w:id="26">
    <w:p w:rsidR="00BC0C2C" w:rsidRDefault="00BC0C2C">
      <w:pPr>
        <w:pStyle w:val="DipnotMetni"/>
      </w:pPr>
      <w:r>
        <w:rPr>
          <w:rStyle w:val="DipnotBavurusu"/>
        </w:rPr>
        <w:footnoteRef/>
      </w:r>
      <w:r>
        <w:t xml:space="preserve"> </w:t>
      </w:r>
      <w:r w:rsidRPr="0056490D">
        <w:t>Ali Haydar Efendi</w:t>
      </w:r>
      <w:r>
        <w:t xml:space="preserve">, </w:t>
      </w:r>
      <w:proofErr w:type="spellStart"/>
      <w:r>
        <w:t>Şerh</w:t>
      </w:r>
      <w:r w:rsidRPr="0056490D">
        <w:t>u</w:t>
      </w:r>
      <w:proofErr w:type="spellEnd"/>
      <w:r w:rsidRPr="0056490D">
        <w:t xml:space="preserve"> </w:t>
      </w:r>
      <w:proofErr w:type="spellStart"/>
      <w:r w:rsidRPr="0056490D">
        <w:t>Mecelleti</w:t>
      </w:r>
      <w:r>
        <w:t>’l</w:t>
      </w:r>
      <w:proofErr w:type="spellEnd"/>
      <w:r w:rsidRPr="0056490D">
        <w:t xml:space="preserve"> ahkâm c. 1 </w:t>
      </w:r>
      <w:r>
        <w:t>s: 409</w:t>
      </w:r>
    </w:p>
  </w:footnote>
  <w:footnote w:id="27">
    <w:p w:rsidR="00BC0C2C" w:rsidRDefault="00BC0C2C">
      <w:pPr>
        <w:pStyle w:val="DipnotMetni"/>
      </w:pPr>
      <w:r>
        <w:rPr>
          <w:rStyle w:val="DipnotBavurusu"/>
        </w:rPr>
        <w:footnoteRef/>
      </w:r>
      <w:r>
        <w:t xml:space="preserve"> </w:t>
      </w:r>
      <w:r w:rsidRPr="00864278">
        <w:t xml:space="preserve">Eşya Hukuku, </w:t>
      </w:r>
      <w:proofErr w:type="spellStart"/>
      <w:r w:rsidRPr="00864278">
        <w:t>Oğuzman</w:t>
      </w:r>
      <w:proofErr w:type="spellEnd"/>
      <w:r w:rsidRPr="00864278">
        <w:t>/</w:t>
      </w:r>
      <w:proofErr w:type="spellStart"/>
      <w:r w:rsidRPr="00864278">
        <w:t>Seliçi</w:t>
      </w:r>
      <w:proofErr w:type="spellEnd"/>
      <w:r w:rsidRPr="00864278">
        <w:t xml:space="preserve">/Oktay-Özdemir, </w:t>
      </w:r>
      <w:r>
        <w:t>2012, s: 536-dip not</w:t>
      </w:r>
    </w:p>
  </w:footnote>
  <w:footnote w:id="28">
    <w:p w:rsidR="00BC0C2C" w:rsidRDefault="00BC0C2C" w:rsidP="00131D98">
      <w:pPr>
        <w:pStyle w:val="DipnotMetni"/>
      </w:pPr>
      <w:r>
        <w:rPr>
          <w:rStyle w:val="DipnotBavurusu"/>
        </w:rPr>
        <w:footnoteRef/>
      </w:r>
      <w:r>
        <w:t xml:space="preserve"> </w:t>
      </w:r>
      <w:r w:rsidRPr="004F3972">
        <w:t xml:space="preserve">Abdülaziz BAYINDIR, İslam Ansiklopedisi, BEY‘ </w:t>
      </w:r>
      <w:proofErr w:type="spellStart"/>
      <w:r w:rsidRPr="004F3972">
        <w:t>bi’l</w:t>
      </w:r>
      <w:proofErr w:type="spellEnd"/>
      <w:r w:rsidRPr="004F3972">
        <w:t>-VE</w:t>
      </w:r>
      <w:r>
        <w:t>FÂ yıl: 1992, cilt: 6, sayfa: 22</w:t>
      </w:r>
    </w:p>
  </w:footnote>
  <w:footnote w:id="29">
    <w:p w:rsidR="00A00A9A" w:rsidRDefault="00A00A9A">
      <w:pPr>
        <w:pStyle w:val="DipnotMetni"/>
      </w:pPr>
      <w:r>
        <w:rPr>
          <w:rStyle w:val="DipnotBavurusu"/>
        </w:rPr>
        <w:footnoteRef/>
      </w:r>
      <w:r>
        <w:t xml:space="preserve"> </w:t>
      </w:r>
      <w:r w:rsidRPr="00A00A9A">
        <w:t>Mülkiyet konusunda, olası bir yargılamada savunma konusu edilebilecek ve TMK m.969 yollamasıyla -yorum yoluyla- belki söz konusu olabilecek m.966’nın “</w:t>
      </w:r>
      <w:r w:rsidRPr="00A00A9A">
        <w:rPr>
          <w:i/>
        </w:rPr>
        <w:t>Satış bedelinin rehinli alacak miktarından fazla olması halinde, arta kalan para hak sahibine ödenir</w:t>
      </w:r>
      <w:r w:rsidRPr="00A00A9A">
        <w:t>” şeklindeki hükmünün, kira sertifikaları (</w:t>
      </w:r>
      <w:proofErr w:type="spellStart"/>
      <w:r w:rsidRPr="00A00A9A">
        <w:t>sukuk</w:t>
      </w:r>
      <w:proofErr w:type="spellEnd"/>
      <w:r w:rsidRPr="00A00A9A">
        <w:t>) bakımından uygulanmayacağına dair, ne Kanuna ve ne de Tebliğe bir hüküm ilave edilmemiş olması, mevzuat eksikliği şeklinde eleştirilebilecek bir durum gibi görünse de; TMK m.962’nin “</w:t>
      </w:r>
      <w:r w:rsidRPr="00A00A9A">
        <w:rPr>
          <w:i/>
        </w:rPr>
        <w:t xml:space="preserve">işletme olarak taşınır </w:t>
      </w:r>
      <w:proofErr w:type="spellStart"/>
      <w:r w:rsidRPr="00A00A9A">
        <w:rPr>
          <w:i/>
        </w:rPr>
        <w:t>rehni</w:t>
      </w:r>
      <w:proofErr w:type="spellEnd"/>
      <w:r w:rsidRPr="00A00A9A">
        <w:rPr>
          <w:i/>
        </w:rPr>
        <w:t xml:space="preserve"> karşılığında ödünç verme işiyle uğraşmak isteyenler, yetkili makamdan</w:t>
      </w:r>
      <w:r w:rsidRPr="00A00A9A">
        <w:rPr>
          <w:i/>
          <w:vertAlign w:val="superscript"/>
        </w:rPr>
        <w:footnoteRef/>
      </w:r>
      <w:r w:rsidRPr="00A00A9A">
        <w:rPr>
          <w:i/>
        </w:rPr>
        <w:t xml:space="preserve"> izin almak zorundadırlar</w:t>
      </w:r>
      <w:r w:rsidRPr="00A00A9A">
        <w:t xml:space="preserve">” şeklindeki hükmü dikkate alındığında, sermaye piyasası mevzuatına tâbi olan </w:t>
      </w:r>
      <w:proofErr w:type="spellStart"/>
      <w:r w:rsidRPr="00A00A9A">
        <w:t>VKŞ’nin</w:t>
      </w:r>
      <w:proofErr w:type="spellEnd"/>
      <w:r w:rsidRPr="00A00A9A">
        <w:t xml:space="preserve"> “</w:t>
      </w:r>
      <w:r w:rsidRPr="00A00A9A">
        <w:rPr>
          <w:i/>
        </w:rPr>
        <w:t>geri alım hakkı tanıyarak satın almayı meslek edinenler</w:t>
      </w:r>
      <w:r w:rsidRPr="00A00A9A">
        <w:t>” kapsamında kalmayacağı, keza yatırımcılar bakımından da böyle niteleme yapılamayacağı anlaşılmaktadır.</w:t>
      </w:r>
    </w:p>
  </w:footnote>
  <w:footnote w:id="30">
    <w:p w:rsidR="00BC0C2C" w:rsidRDefault="00BC0C2C" w:rsidP="00F91332">
      <w:pPr>
        <w:pStyle w:val="DipnotMetni"/>
      </w:pPr>
      <w:r>
        <w:rPr>
          <w:rStyle w:val="DipnotBavurusu"/>
        </w:rPr>
        <w:footnoteRef/>
      </w:r>
      <w:r>
        <w:t xml:space="preserve"> TMK m.946</w:t>
      </w:r>
    </w:p>
  </w:footnote>
  <w:footnote w:id="31">
    <w:p w:rsidR="00BC0C2C" w:rsidRDefault="00BC0C2C" w:rsidP="00F91332">
      <w:pPr>
        <w:pStyle w:val="DipnotMetni"/>
      </w:pPr>
      <w:r>
        <w:rPr>
          <w:rStyle w:val="DipnotBavurusu"/>
        </w:rPr>
        <w:footnoteRef/>
      </w:r>
      <w:r>
        <w:t xml:space="preserve"> </w:t>
      </w:r>
      <w:r w:rsidRPr="00850706">
        <w:t>Teminat amaçlı temlikte de aynı şey söz konusudur.</w:t>
      </w:r>
    </w:p>
  </w:footnote>
  <w:footnote w:id="32">
    <w:p w:rsidR="00BC0C2C" w:rsidRDefault="00BC0C2C" w:rsidP="00F91332">
      <w:pPr>
        <w:pStyle w:val="DipnotMetni"/>
      </w:pPr>
      <w:r>
        <w:rPr>
          <w:rStyle w:val="DipnotBavurusu"/>
        </w:rPr>
        <w:footnoteRef/>
      </w:r>
      <w:r>
        <w:t xml:space="preserve"> TMK m.949</w:t>
      </w:r>
    </w:p>
  </w:footnote>
  <w:footnote w:id="33">
    <w:p w:rsidR="00BC0C2C" w:rsidRDefault="00BC0C2C" w:rsidP="00F91332">
      <w:pPr>
        <w:pStyle w:val="DipnotMetni"/>
      </w:pPr>
      <w:r>
        <w:rPr>
          <w:rStyle w:val="DipnotBavurusu"/>
        </w:rPr>
        <w:footnoteRef/>
      </w:r>
      <w:r>
        <w:t xml:space="preserve"> TMK m.736 “</w:t>
      </w:r>
      <w:r w:rsidRPr="00874E90">
        <w:t xml:space="preserve">geri alım hakları, </w:t>
      </w:r>
      <w:proofErr w:type="spellStart"/>
      <w:r w:rsidRPr="00874E90">
        <w:t>şerhde</w:t>
      </w:r>
      <w:proofErr w:type="spellEnd"/>
      <w:r w:rsidRPr="00874E90">
        <w:t xml:space="preserve"> belirtilen süre içinde her malike karşı kullanılabilir</w:t>
      </w:r>
      <w:r>
        <w:t>”</w:t>
      </w:r>
    </w:p>
  </w:footnote>
  <w:footnote w:id="34">
    <w:p w:rsidR="00BC0C2C" w:rsidRDefault="00BC0C2C" w:rsidP="00296E5A">
      <w:pPr>
        <w:pStyle w:val="DipnotMetni"/>
      </w:pPr>
      <w:r>
        <w:rPr>
          <w:rStyle w:val="DipnotBavurusu"/>
        </w:rPr>
        <w:footnoteRef/>
      </w:r>
      <w:r>
        <w:t xml:space="preserve"> Tebliğ m.5/4 “</w:t>
      </w:r>
      <w:r w:rsidRPr="00296E5A">
        <w:t>İhraca dayanak varlığın gayrimenkul olması durumunda ve kaynak kuruluşun talep etmesi halinde geri alım hakkının tapu kütüğüne şerh edilmesi zorunludur.</w:t>
      </w:r>
      <w:r>
        <w:t>”</w:t>
      </w:r>
    </w:p>
  </w:footnote>
  <w:footnote w:id="35">
    <w:p w:rsidR="00BC0C2C" w:rsidRDefault="00BC0C2C" w:rsidP="00524FEC">
      <w:pPr>
        <w:pStyle w:val="DipnotMetni"/>
      </w:pPr>
      <w:r>
        <w:rPr>
          <w:rStyle w:val="DipnotBavurusu"/>
        </w:rPr>
        <w:footnoteRef/>
      </w:r>
      <w:r>
        <w:t xml:space="preserve"> Şarta bağlı taşınmaz satımı:</w:t>
      </w:r>
    </w:p>
    <w:p w:rsidR="00BC0C2C" w:rsidRDefault="00BC0C2C" w:rsidP="00524FEC">
      <w:pPr>
        <w:pStyle w:val="DipnotMetni"/>
      </w:pPr>
      <w:r>
        <w:t xml:space="preserve">BK. </w:t>
      </w:r>
      <w:proofErr w:type="spellStart"/>
      <w:r>
        <w:t>md.</w:t>
      </w:r>
      <w:proofErr w:type="spellEnd"/>
      <w:r>
        <w:t xml:space="preserve"> 214'e göre taşınmazın şarta bağlı olarak satımı mümkündür; fakat şart gerçekleşmedikçe tescil yapılamaz. Her ne kadar BK. </w:t>
      </w:r>
      <w:proofErr w:type="spellStart"/>
      <w:r>
        <w:t>md.</w:t>
      </w:r>
      <w:proofErr w:type="spellEnd"/>
      <w:r>
        <w:t xml:space="preserve"> 214'ün yazılış tarzı burada sadece geciktirici şarta bağlı satımın </w:t>
      </w:r>
      <w:proofErr w:type="spellStart"/>
      <w:r>
        <w:t>kasdedildiği</w:t>
      </w:r>
      <w:proofErr w:type="spellEnd"/>
      <w:r>
        <w:t xml:space="preserve"> zannını uyandırıyorsa da bozucu şarta bağlı bir satıma dayanılarak da tescil yapılamaz; </w:t>
      </w:r>
      <w:r w:rsidRPr="00524FEC">
        <w:rPr>
          <w:b/>
        </w:rPr>
        <w:t>eğer satıcı belli şartlar altında sattığını geri almak istiyorsa bu şartlara bağlı bir geri alım sözleşmesi yapmalıdır</w:t>
      </w:r>
      <w:r>
        <w:t xml:space="preserve">. </w:t>
      </w:r>
    </w:p>
    <w:p w:rsidR="00BC0C2C" w:rsidRDefault="00BC0C2C" w:rsidP="00524FEC">
      <w:pPr>
        <w:pStyle w:val="DipnotMetni"/>
      </w:pPr>
      <w:r>
        <w:t xml:space="preserve">Mülkiyeti saklı tutmak kaydıyla taşınmaz satımı da caiz değildir; buna karşılık satıcı mülkiyetin naklinden itibaren üç ay zarfında satılan taşınmaz üzerinde lehine kanuni ipotek hakkının tescilini isteyebilir. </w:t>
      </w:r>
      <w:r w:rsidRPr="00524FEC">
        <w:t>(Haluk TANDOĞAN,</w:t>
      </w:r>
      <w:r>
        <w:t xml:space="preserve"> Özel Borç İlişkileri, C I/1, s:273)</w:t>
      </w:r>
    </w:p>
  </w:footnote>
  <w:footnote w:id="36">
    <w:p w:rsidR="00BC0C2C" w:rsidRDefault="00BC0C2C">
      <w:pPr>
        <w:pStyle w:val="DipnotMetni"/>
      </w:pPr>
      <w:r>
        <w:rPr>
          <w:rStyle w:val="DipnotBavurusu"/>
        </w:rPr>
        <w:footnoteRef/>
      </w:r>
      <w:r>
        <w:t xml:space="preserve"> “</w:t>
      </w:r>
      <w:r w:rsidRPr="00EA5822">
        <w:t>alım hakkı, hak sahibine tek tarafl</w:t>
      </w:r>
      <w:r w:rsidRPr="00EA5822">
        <w:rPr>
          <w:rFonts w:hint="eastAsia"/>
        </w:rPr>
        <w:t>ı</w:t>
      </w:r>
      <w:r w:rsidRPr="00EA5822">
        <w:t xml:space="preserve"> beyanla bir ta</w:t>
      </w:r>
      <w:r w:rsidRPr="00EA5822">
        <w:rPr>
          <w:rFonts w:hint="eastAsia"/>
        </w:rPr>
        <w:t>şı</w:t>
      </w:r>
      <w:r w:rsidRPr="00EA5822">
        <w:t>nmaz</w:t>
      </w:r>
      <w:r w:rsidRPr="00EA5822">
        <w:rPr>
          <w:rFonts w:hint="eastAsia"/>
        </w:rPr>
        <w:t>ı</w:t>
      </w:r>
      <w:r w:rsidRPr="00EA5822">
        <w:t>n al</w:t>
      </w:r>
      <w:r w:rsidRPr="00EA5822">
        <w:rPr>
          <w:rFonts w:hint="eastAsia"/>
        </w:rPr>
        <w:t>ı</w:t>
      </w:r>
      <w:r w:rsidRPr="00EA5822">
        <w:t>c</w:t>
      </w:r>
      <w:r w:rsidRPr="00EA5822">
        <w:rPr>
          <w:rFonts w:hint="eastAsia"/>
        </w:rPr>
        <w:t>ı</w:t>
      </w:r>
      <w:r w:rsidRPr="00EA5822">
        <w:t>s</w:t>
      </w:r>
      <w:r w:rsidRPr="00EA5822">
        <w:rPr>
          <w:rFonts w:hint="eastAsia"/>
        </w:rPr>
        <w:t>ı</w:t>
      </w:r>
      <w:r w:rsidRPr="00EA5822">
        <w:t xml:space="preserve"> olabilme yetkisini veren yenilik do</w:t>
      </w:r>
      <w:r w:rsidRPr="00EA5822">
        <w:rPr>
          <w:rFonts w:hint="eastAsia"/>
        </w:rPr>
        <w:t>ğ</w:t>
      </w:r>
      <w:r w:rsidRPr="00EA5822">
        <w:t>uran bir hakt</w:t>
      </w:r>
      <w:r w:rsidRPr="00EA5822">
        <w:rPr>
          <w:rFonts w:hint="eastAsia"/>
        </w:rPr>
        <w:t>ı</w:t>
      </w:r>
      <w:r w:rsidRPr="00EA5822">
        <w:t>r.</w:t>
      </w:r>
      <w:r>
        <w:t xml:space="preserve">” </w:t>
      </w:r>
      <w:r w:rsidRPr="006C617D">
        <w:t xml:space="preserve">Eşya Hukuku, </w:t>
      </w:r>
      <w:proofErr w:type="spellStart"/>
      <w:r w:rsidRPr="006C617D">
        <w:t>Oğuzman</w:t>
      </w:r>
      <w:proofErr w:type="spellEnd"/>
      <w:r w:rsidRPr="006C617D">
        <w:t>/</w:t>
      </w:r>
      <w:proofErr w:type="spellStart"/>
      <w:r w:rsidRPr="006C617D">
        <w:t>Seliçi</w:t>
      </w:r>
      <w:proofErr w:type="spellEnd"/>
      <w:r w:rsidRPr="006C617D">
        <w:t xml:space="preserve">/Oktay-Özdemir, 2012, s: </w:t>
      </w:r>
      <w:r>
        <w:t>532</w:t>
      </w:r>
    </w:p>
  </w:footnote>
  <w:footnote w:id="37">
    <w:p w:rsidR="00BC0C2C" w:rsidRDefault="00BC0C2C">
      <w:pPr>
        <w:pStyle w:val="DipnotMetni"/>
      </w:pPr>
      <w:r>
        <w:rPr>
          <w:rStyle w:val="DipnotBavurusu"/>
        </w:rPr>
        <w:footnoteRef/>
      </w:r>
      <w:r>
        <w:t xml:space="preserve"> Eşya Hukuku, </w:t>
      </w:r>
      <w:proofErr w:type="spellStart"/>
      <w:r w:rsidRPr="00EA5822">
        <w:t>Oğuzman</w:t>
      </w:r>
      <w:proofErr w:type="spellEnd"/>
      <w:r>
        <w:t>/</w:t>
      </w:r>
      <w:proofErr w:type="spellStart"/>
      <w:r w:rsidRPr="00EA5822">
        <w:t>Seliçi</w:t>
      </w:r>
      <w:proofErr w:type="spellEnd"/>
      <w:r>
        <w:t>/</w:t>
      </w:r>
      <w:r w:rsidRPr="00EA5822">
        <w:t>Oktay-Özdemir</w:t>
      </w:r>
      <w:r>
        <w:t xml:space="preserve">, </w:t>
      </w:r>
      <w:r w:rsidRPr="00EA5822">
        <w:t>2012</w:t>
      </w:r>
      <w:r>
        <w:t>, s: 537</w:t>
      </w:r>
    </w:p>
  </w:footnote>
  <w:footnote w:id="38">
    <w:p w:rsidR="00BC0C2C" w:rsidRDefault="00BC0C2C">
      <w:pPr>
        <w:pStyle w:val="DipnotMetni"/>
      </w:pPr>
      <w:r>
        <w:rPr>
          <w:rStyle w:val="DipnotBavurusu"/>
        </w:rPr>
        <w:footnoteRef/>
      </w:r>
      <w:r>
        <w:t xml:space="preserve"> </w:t>
      </w:r>
      <w:r w:rsidRPr="008A455D">
        <w:t xml:space="preserve">AAOIFI 17 numaralı standart kararları </w:t>
      </w:r>
      <w:proofErr w:type="spellStart"/>
      <w:r w:rsidRPr="008A455D">
        <w:t>te’kid</w:t>
      </w:r>
      <w:proofErr w:type="spellEnd"/>
      <w:r w:rsidRPr="008A455D">
        <w:t xml:space="preserve"> eden Şubat </w:t>
      </w:r>
      <w:r w:rsidR="006410A9">
        <w:t xml:space="preserve">2008 tarihli tavsiye kararları, </w:t>
      </w:r>
      <w:r w:rsidRPr="008A455D">
        <w:t>karar no:</w:t>
      </w:r>
      <w:r>
        <w:t>4</w:t>
      </w:r>
      <w:r w:rsidR="006410A9" w:rsidRPr="006410A9">
        <w:rPr>
          <w:sz w:val="26"/>
          <w:szCs w:val="22"/>
        </w:rPr>
        <w:t xml:space="preserve"> </w:t>
      </w:r>
      <w:r w:rsidR="006410A9" w:rsidRPr="006410A9">
        <w:t>(Mehmet ODABAŞI tercümesi)</w:t>
      </w:r>
    </w:p>
  </w:footnote>
  <w:footnote w:id="39">
    <w:p w:rsidR="00BC0C2C" w:rsidRDefault="00BC0C2C">
      <w:pPr>
        <w:pStyle w:val="DipnotMetni"/>
      </w:pPr>
      <w:r>
        <w:rPr>
          <w:rStyle w:val="DipnotBavurusu"/>
        </w:rPr>
        <w:footnoteRef/>
      </w:r>
      <w:r>
        <w:t xml:space="preserve"> </w:t>
      </w:r>
      <w:r w:rsidRPr="00E24DD2">
        <w:t xml:space="preserve">AAOIFI 17 numaralı standart kararları </w:t>
      </w:r>
      <w:proofErr w:type="spellStart"/>
      <w:r w:rsidRPr="00E24DD2">
        <w:t>te’kid</w:t>
      </w:r>
      <w:proofErr w:type="spellEnd"/>
      <w:r w:rsidRPr="00E24DD2">
        <w:t xml:space="preserve"> eden Şubat </w:t>
      </w:r>
      <w:r w:rsidR="006410A9">
        <w:t xml:space="preserve">2008 tarihli tavsiye kararları, </w:t>
      </w:r>
      <w:r w:rsidRPr="00E24DD2">
        <w:t>karar no:</w:t>
      </w:r>
      <w:r>
        <w:t>5</w:t>
      </w:r>
      <w:r w:rsidR="006410A9">
        <w:t xml:space="preserve"> </w:t>
      </w:r>
      <w:r w:rsidR="006410A9" w:rsidRPr="006410A9">
        <w:t>(Mehmet ODABAŞI tercümesi)</w:t>
      </w:r>
    </w:p>
  </w:footnote>
  <w:footnote w:id="40">
    <w:p w:rsidR="008933D2" w:rsidRDefault="008933D2">
      <w:pPr>
        <w:pStyle w:val="DipnotMetni"/>
      </w:pPr>
      <w:r>
        <w:rPr>
          <w:rStyle w:val="DipnotBavurusu"/>
        </w:rPr>
        <w:footnoteRef/>
      </w:r>
      <w:r>
        <w:t xml:space="preserve"> </w:t>
      </w:r>
      <w:r w:rsidR="006410A9" w:rsidRPr="006410A9">
        <w:t xml:space="preserve">AAOIFI 2003 standartları / </w:t>
      </w:r>
      <w:r w:rsidR="006410A9" w:rsidRPr="006410A9">
        <w:rPr>
          <w:i/>
          <w:iCs/>
        </w:rPr>
        <w:t>Faizsiz Bankacılık Standartları</w:t>
      </w:r>
      <w:r w:rsidR="006410A9" w:rsidRPr="006410A9">
        <w:t>, Çev. Mehmet Odabaşı / İ. Emin Aktepe, (</w:t>
      </w:r>
      <w:r w:rsidR="006410A9">
        <w:t xml:space="preserve">5 numaralı standardın, </w:t>
      </w:r>
      <w:proofErr w:type="gramStart"/>
      <w:r w:rsidR="006410A9">
        <w:t>2/2/2</w:t>
      </w:r>
      <w:proofErr w:type="gramEnd"/>
      <w:r w:rsidR="006410A9">
        <w:t xml:space="preserve"> no.lu maddesi</w:t>
      </w:r>
      <w:r w:rsidR="006410A9" w:rsidRPr="006410A9">
        <w:t>), İstanbul,</w:t>
      </w:r>
      <w:r w:rsidR="006410A9">
        <w:t xml:space="preserve"> TKBB Yayın No: 2, 2012</w:t>
      </w:r>
      <w:r>
        <w:t xml:space="preserve"> </w:t>
      </w:r>
    </w:p>
  </w:footnote>
  <w:footnote w:id="41">
    <w:p w:rsidR="008933D2" w:rsidRDefault="008933D2">
      <w:pPr>
        <w:pStyle w:val="DipnotMetni"/>
      </w:pPr>
      <w:r>
        <w:rPr>
          <w:rStyle w:val="DipnotBavurusu"/>
        </w:rPr>
        <w:footnoteRef/>
      </w:r>
      <w:r>
        <w:t xml:space="preserve"> </w:t>
      </w:r>
      <w:r w:rsidR="0050319A" w:rsidRPr="0050319A">
        <w:t xml:space="preserve">AAOIFI 2003 standartları / </w:t>
      </w:r>
      <w:r w:rsidR="0050319A" w:rsidRPr="0050319A">
        <w:rPr>
          <w:i/>
          <w:iCs/>
        </w:rPr>
        <w:t>Faizsiz Bankacılık Standartları</w:t>
      </w:r>
      <w:r w:rsidR="0050319A" w:rsidRPr="0050319A">
        <w:t xml:space="preserve">, Çev. Mehmet Odabaşı / İ. Emin Aktepe, s: </w:t>
      </w:r>
      <w:r w:rsidR="0050319A">
        <w:t>s: 501-502</w:t>
      </w:r>
      <w:r w:rsidR="0050319A" w:rsidRPr="0050319A">
        <w:t>, İstanbul,</w:t>
      </w:r>
      <w:r w:rsidR="0050319A">
        <w:t xml:space="preserve"> TKBB Yayın No: 2, 2012</w:t>
      </w:r>
      <w:r w:rsidR="00D9301F">
        <w:t xml:space="preserve"> </w:t>
      </w:r>
    </w:p>
  </w:footnote>
  <w:footnote w:id="42">
    <w:p w:rsidR="005E78AC" w:rsidRDefault="005E78AC">
      <w:pPr>
        <w:pStyle w:val="DipnotMetni"/>
      </w:pPr>
      <w:r>
        <w:rPr>
          <w:rStyle w:val="DipnotBavurusu"/>
        </w:rPr>
        <w:footnoteRef/>
      </w:r>
      <w:r>
        <w:t xml:space="preserve"> TBK m.302</w:t>
      </w:r>
    </w:p>
  </w:footnote>
  <w:footnote w:id="43">
    <w:p w:rsidR="00665E02" w:rsidRDefault="00665E02">
      <w:pPr>
        <w:pStyle w:val="DipnotMetni"/>
      </w:pPr>
      <w:r>
        <w:rPr>
          <w:rStyle w:val="DipnotBavurusu"/>
        </w:rPr>
        <w:footnoteRef/>
      </w:r>
      <w:r>
        <w:t xml:space="preserve"> TBK m.341</w:t>
      </w:r>
    </w:p>
  </w:footnote>
  <w:footnote w:id="44">
    <w:p w:rsidR="00292000" w:rsidRDefault="00292000">
      <w:pPr>
        <w:pStyle w:val="DipnotMetni"/>
      </w:pPr>
      <w:r>
        <w:rPr>
          <w:rStyle w:val="DipnotBavurusu"/>
        </w:rPr>
        <w:footnoteRef/>
      </w:r>
      <w:r>
        <w:t xml:space="preserve"> </w:t>
      </w:r>
      <w:r w:rsidR="0050319A" w:rsidRPr="0050319A">
        <w:t xml:space="preserve">AAOIFI 2003 standartları / </w:t>
      </w:r>
      <w:r w:rsidR="0050319A" w:rsidRPr="0050319A">
        <w:rPr>
          <w:i/>
          <w:iCs/>
        </w:rPr>
        <w:t>Faizsiz Bankacılık Standartları</w:t>
      </w:r>
      <w:r w:rsidR="0050319A" w:rsidRPr="0050319A">
        <w:t>, Çev. Mehmet Odabaşı / İ. Emin Aktepe, (</w:t>
      </w:r>
      <w:r w:rsidR="0050319A">
        <w:t xml:space="preserve">Kira ve Finansal Kiralama (Leasing) Standardı, </w:t>
      </w:r>
      <w:proofErr w:type="gramStart"/>
      <w:r w:rsidR="0050319A">
        <w:t>5/1/7</w:t>
      </w:r>
      <w:proofErr w:type="gramEnd"/>
      <w:r w:rsidR="0050319A" w:rsidRPr="0050319A">
        <w:t>), İstanbul,</w:t>
      </w:r>
      <w:r w:rsidR="0050319A">
        <w:t xml:space="preserve"> TKBB Yayın No: 2, 2012</w:t>
      </w:r>
    </w:p>
  </w:footnote>
  <w:footnote w:id="45">
    <w:p w:rsidR="00BB4C5D" w:rsidRDefault="00BB4C5D">
      <w:pPr>
        <w:pStyle w:val="DipnotMetni"/>
      </w:pPr>
      <w:r>
        <w:rPr>
          <w:rStyle w:val="DipnotBavurusu"/>
        </w:rPr>
        <w:footnoteRef/>
      </w:r>
      <w:r>
        <w:t xml:space="preserve"> </w:t>
      </w:r>
      <w:r w:rsidR="0050319A" w:rsidRPr="0050319A">
        <w:t xml:space="preserve">AAOIFI 2003 standartları / </w:t>
      </w:r>
      <w:r w:rsidR="0050319A" w:rsidRPr="0050319A">
        <w:rPr>
          <w:i/>
          <w:iCs/>
        </w:rPr>
        <w:t>Faizsiz Bankacılık Standartları</w:t>
      </w:r>
      <w:r w:rsidR="0050319A" w:rsidRPr="0050319A">
        <w:t>, Çev. Mehmet Odabaşı / İ. Emin Aktepe, (Kira ve Finansal Kir</w:t>
      </w:r>
      <w:r w:rsidR="0050319A">
        <w:t xml:space="preserve">alama (Leasing) Standardı, </w:t>
      </w:r>
      <w:proofErr w:type="gramStart"/>
      <w:r w:rsidR="0050319A">
        <w:t>5/1/8</w:t>
      </w:r>
      <w:proofErr w:type="gramEnd"/>
      <w:r w:rsidR="0050319A" w:rsidRPr="0050319A">
        <w:t>), İstanbul, TKBB Yayın No: 2, 2012</w:t>
      </w:r>
    </w:p>
  </w:footnote>
  <w:footnote w:id="46">
    <w:p w:rsidR="003C5CD0" w:rsidRPr="003C5CD0" w:rsidRDefault="003C5CD0" w:rsidP="003C5CD0">
      <w:pPr>
        <w:pStyle w:val="DipnotMetni"/>
        <w:rPr>
          <w:i/>
        </w:rPr>
      </w:pPr>
      <w:r>
        <w:rPr>
          <w:rStyle w:val="DipnotBavurusu"/>
        </w:rPr>
        <w:footnoteRef/>
      </w:r>
      <w:r>
        <w:t xml:space="preserve"> “</w:t>
      </w:r>
      <w:r w:rsidRPr="003C5CD0">
        <w:rPr>
          <w:i/>
        </w:rPr>
        <w:t xml:space="preserve">Aşağıda belirtilen işlemlere konu varlık ve hakların gerçeğe uygun değerinin tespit edilmesini </w:t>
      </w:r>
      <w:proofErr w:type="spellStart"/>
      <w:r w:rsidRPr="003C5CD0">
        <w:rPr>
          <w:i/>
        </w:rPr>
        <w:t>teminen</w:t>
      </w:r>
      <w:proofErr w:type="spellEnd"/>
      <w:r w:rsidRPr="003C5CD0">
        <w:rPr>
          <w:i/>
        </w:rPr>
        <w:t xml:space="preserve"> Kurulun ilgili düzenlemeleri uyarınca değerleme şirketleri tarafından değerleme raporu hazırlanması zorunludur:</w:t>
      </w:r>
    </w:p>
    <w:p w:rsidR="003C5CD0" w:rsidRPr="003C5CD0" w:rsidRDefault="003C5CD0" w:rsidP="003C5CD0">
      <w:pPr>
        <w:pStyle w:val="DipnotMetni"/>
        <w:rPr>
          <w:i/>
        </w:rPr>
      </w:pPr>
      <w:r w:rsidRPr="003C5CD0">
        <w:rPr>
          <w:i/>
        </w:rPr>
        <w:t xml:space="preserve">a) Sahipliğe dayalı kira sertifikası ihraçlarında varlığın veya hakkın, </w:t>
      </w:r>
      <w:proofErr w:type="spellStart"/>
      <w:r w:rsidRPr="003C5CD0">
        <w:rPr>
          <w:i/>
        </w:rPr>
        <w:t>VKŞ’ye</w:t>
      </w:r>
      <w:proofErr w:type="spellEnd"/>
      <w:r w:rsidRPr="003C5CD0">
        <w:rPr>
          <w:i/>
        </w:rPr>
        <w:t xml:space="preserve"> devri ile </w:t>
      </w:r>
      <w:proofErr w:type="spellStart"/>
      <w:r w:rsidRPr="003C5CD0">
        <w:rPr>
          <w:i/>
        </w:rPr>
        <w:t>VKŞ’den</w:t>
      </w:r>
      <w:proofErr w:type="spellEnd"/>
      <w:r w:rsidRPr="003C5CD0">
        <w:rPr>
          <w:i/>
        </w:rPr>
        <w:t xml:space="preserve"> kaynak kuruluş veya üçüncü kişilere devri halinde.</w:t>
      </w:r>
    </w:p>
    <w:p w:rsidR="003C5CD0" w:rsidRPr="003C5CD0" w:rsidRDefault="003C5CD0" w:rsidP="003C5CD0">
      <w:pPr>
        <w:pStyle w:val="DipnotMetni"/>
        <w:rPr>
          <w:i/>
        </w:rPr>
      </w:pPr>
      <w:r w:rsidRPr="003C5CD0">
        <w:rPr>
          <w:i/>
        </w:rPr>
        <w:t>b) Ortaklığa dayalı kira sertifikası ihraçlarında.</w:t>
      </w:r>
    </w:p>
    <w:p w:rsidR="003C5CD0" w:rsidRPr="003C5CD0" w:rsidRDefault="003C5CD0" w:rsidP="003C5CD0">
      <w:pPr>
        <w:pStyle w:val="DipnotMetni"/>
        <w:rPr>
          <w:i/>
        </w:rPr>
      </w:pPr>
      <w:r w:rsidRPr="003C5CD0">
        <w:rPr>
          <w:i/>
        </w:rPr>
        <w:t>1) Ortak girişime konu proje değerinin belirlenmesi aşamasında,</w:t>
      </w:r>
    </w:p>
    <w:p w:rsidR="003C5CD0" w:rsidRPr="003C5CD0" w:rsidRDefault="003C5CD0" w:rsidP="003C5CD0">
      <w:pPr>
        <w:pStyle w:val="DipnotMetni"/>
        <w:rPr>
          <w:i/>
        </w:rPr>
      </w:pPr>
      <w:r w:rsidRPr="003C5CD0">
        <w:rPr>
          <w:i/>
        </w:rPr>
        <w:t>2) Ortak girişimin VKŞ dışında kalan ortakların ortak girişime nakit dışında varlık veya hak koyması halinde.</w:t>
      </w:r>
    </w:p>
    <w:p w:rsidR="003C5CD0" w:rsidRPr="003C5CD0" w:rsidRDefault="003C5CD0" w:rsidP="003C5CD0">
      <w:pPr>
        <w:pStyle w:val="DipnotMetni"/>
        <w:rPr>
          <w:i/>
        </w:rPr>
      </w:pPr>
      <w:r w:rsidRPr="003C5CD0">
        <w:rPr>
          <w:i/>
        </w:rPr>
        <w:t>c) Eser sözleşmesine dayalı kira sertifikası ihraçlarında.</w:t>
      </w:r>
    </w:p>
    <w:p w:rsidR="003C5CD0" w:rsidRPr="003C5CD0" w:rsidRDefault="003C5CD0" w:rsidP="003C5CD0">
      <w:pPr>
        <w:pStyle w:val="DipnotMetni"/>
        <w:rPr>
          <w:i/>
        </w:rPr>
      </w:pPr>
      <w:r w:rsidRPr="003C5CD0">
        <w:rPr>
          <w:i/>
        </w:rPr>
        <w:t>1) Eser bedelinin tespit edilmesi aşamasında,</w:t>
      </w:r>
    </w:p>
    <w:p w:rsidR="003C5CD0" w:rsidRDefault="003C5CD0">
      <w:pPr>
        <w:pStyle w:val="DipnotMetni"/>
      </w:pPr>
      <w:r w:rsidRPr="003C5CD0">
        <w:rPr>
          <w:i/>
        </w:rPr>
        <w:t>2) Esere ilişkin satış sözleşmesinin düzenlenmesi öncesinde.</w:t>
      </w:r>
      <w:r>
        <w:t>”</w:t>
      </w:r>
    </w:p>
  </w:footnote>
  <w:footnote w:id="47">
    <w:p w:rsidR="00075FDD" w:rsidRDefault="00075FDD">
      <w:pPr>
        <w:pStyle w:val="DipnotMetni"/>
      </w:pPr>
      <w:r>
        <w:rPr>
          <w:rStyle w:val="DipnotBavurusu"/>
        </w:rPr>
        <w:footnoteRef/>
      </w:r>
      <w:r>
        <w:t xml:space="preserve"> </w:t>
      </w:r>
      <w:r w:rsidRPr="00075FDD">
        <w:t xml:space="preserve">Ali Haydar Efendi, </w:t>
      </w:r>
      <w:proofErr w:type="spellStart"/>
      <w:r w:rsidRPr="00075FDD">
        <w:t>Şerhu</w:t>
      </w:r>
      <w:proofErr w:type="spellEnd"/>
      <w:r w:rsidRPr="00075FDD">
        <w:t xml:space="preserve"> </w:t>
      </w:r>
      <w:proofErr w:type="spellStart"/>
      <w:r w:rsidRPr="00075FDD">
        <w:t>Mecelleti’l</w:t>
      </w:r>
      <w:proofErr w:type="spellEnd"/>
      <w:r w:rsidRPr="00075FDD">
        <w:t xml:space="preserve"> ahkâm c. 1 s</w:t>
      </w:r>
      <w:r>
        <w:t>: 22</w:t>
      </w:r>
    </w:p>
  </w:footnote>
  <w:footnote w:id="48">
    <w:p w:rsidR="006B3380" w:rsidRDefault="006B3380">
      <w:pPr>
        <w:pStyle w:val="DipnotMetni"/>
      </w:pPr>
      <w:r>
        <w:rPr>
          <w:rStyle w:val="DipnotBavurusu"/>
        </w:rPr>
        <w:footnoteRef/>
      </w:r>
      <w:r>
        <w:t xml:space="preserve"> </w:t>
      </w:r>
      <w:r w:rsidR="0050319A" w:rsidRPr="0050319A">
        <w:t xml:space="preserve">AAOIFI 2003 standartları / </w:t>
      </w:r>
      <w:r w:rsidR="0050319A" w:rsidRPr="0050319A">
        <w:rPr>
          <w:i/>
          <w:iCs/>
        </w:rPr>
        <w:t>Faizsiz Bankacılık Standartları</w:t>
      </w:r>
      <w:r w:rsidR="0050319A" w:rsidRPr="0050319A">
        <w:t>, Çev. Mehmet Odabaşı / İ. Emin Aktepe, İstanbul, TKBB Yayın No: 2, 2012</w:t>
      </w:r>
      <w:r w:rsidRPr="006B3380">
        <w:t xml:space="preserve">, </w:t>
      </w:r>
      <w:r>
        <w:t>s:98</w:t>
      </w:r>
    </w:p>
  </w:footnote>
  <w:footnote w:id="49">
    <w:p w:rsidR="006B3380" w:rsidRDefault="006B3380" w:rsidP="006B3380">
      <w:pPr>
        <w:pStyle w:val="DipnotMetni"/>
      </w:pPr>
      <w:r>
        <w:rPr>
          <w:rStyle w:val="DipnotBavurusu"/>
        </w:rPr>
        <w:footnoteRef/>
      </w:r>
      <w:r>
        <w:t xml:space="preserve"> “</w:t>
      </w:r>
      <w:r w:rsidRPr="006B3380">
        <w:rPr>
          <w:i/>
        </w:rPr>
        <w:t xml:space="preserve">Ortaklardan birisinin ortaklığa konu varlıkları ortaklığın süresi içinde veya tasfiye anında piyasa değeri veya satış anında tarafların üzerinde anlaşacakları bir fiyat ile tek taraflı bağlayıcı bir </w:t>
      </w:r>
      <w:proofErr w:type="spellStart"/>
      <w:r w:rsidRPr="006B3380">
        <w:rPr>
          <w:i/>
        </w:rPr>
        <w:t>vaad</w:t>
      </w:r>
      <w:proofErr w:type="spellEnd"/>
      <w:r w:rsidRPr="006B3380">
        <w:rPr>
          <w:i/>
        </w:rPr>
        <w:t xml:space="preserve"> ile geri alma taahhüdünde bulunması caizdir. Ancak varlıkları nominal değeri ile geri alacağını bu şekilde </w:t>
      </w:r>
      <w:proofErr w:type="spellStart"/>
      <w:r w:rsidRPr="006B3380">
        <w:rPr>
          <w:i/>
        </w:rPr>
        <w:t>vaad</w:t>
      </w:r>
      <w:proofErr w:type="spellEnd"/>
      <w:r w:rsidRPr="006B3380">
        <w:rPr>
          <w:i/>
        </w:rPr>
        <w:t xml:space="preserve"> etmesi caiz değildir.</w:t>
      </w:r>
      <w:r>
        <w:t>”</w:t>
      </w:r>
    </w:p>
  </w:footnote>
  <w:footnote w:id="50">
    <w:p w:rsidR="006B3380" w:rsidRDefault="006B3380" w:rsidP="006B3380">
      <w:pPr>
        <w:pStyle w:val="DipnotMetni"/>
      </w:pPr>
      <w:r>
        <w:rPr>
          <w:rStyle w:val="DipnotBavurusu"/>
        </w:rPr>
        <w:footnoteRef/>
      </w:r>
      <w:r>
        <w:t xml:space="preserve"> “</w:t>
      </w:r>
      <w:r w:rsidRPr="006B3380">
        <w:rPr>
          <w:i/>
        </w:rPr>
        <w:t xml:space="preserve">Emanet hükümlerinin uygulandığı </w:t>
      </w:r>
      <w:proofErr w:type="gramStart"/>
      <w:r w:rsidRPr="006B3380">
        <w:rPr>
          <w:i/>
        </w:rPr>
        <w:t>vekalet</w:t>
      </w:r>
      <w:proofErr w:type="gramEnd"/>
      <w:r w:rsidRPr="006B3380">
        <w:rPr>
          <w:i/>
        </w:rPr>
        <w:t xml:space="preserve"> akdi ve </w:t>
      </w:r>
      <w:proofErr w:type="spellStart"/>
      <w:r w:rsidRPr="006B3380">
        <w:rPr>
          <w:i/>
        </w:rPr>
        <w:t>vedîa</w:t>
      </w:r>
      <w:proofErr w:type="spellEnd"/>
      <w:r w:rsidRPr="006B3380">
        <w:rPr>
          <w:i/>
        </w:rPr>
        <w:t xml:space="preserve"> akdi gibi emanet akitlerinde kefalet veya rehin şartı koşmak caiz değildir. Çünkü kefalet veya rehin şartı bu akitlerin muktezasına aykırıdır. Ancak sadece ve sadece kasıt, kusur veya sözleşme şartlarına muhalefet hallerinde doğabilecek zararlar için kefalet veya rehin şartı ileri sürülebilir. Özellikle de </w:t>
      </w:r>
      <w:proofErr w:type="spellStart"/>
      <w:r w:rsidRPr="006B3380">
        <w:rPr>
          <w:i/>
        </w:rPr>
        <w:t>müşâreke</w:t>
      </w:r>
      <w:proofErr w:type="spellEnd"/>
      <w:r w:rsidRPr="006B3380">
        <w:rPr>
          <w:i/>
        </w:rPr>
        <w:t xml:space="preserve"> ve </w:t>
      </w:r>
      <w:proofErr w:type="spellStart"/>
      <w:r w:rsidRPr="006B3380">
        <w:rPr>
          <w:i/>
        </w:rPr>
        <w:t>mudârabe</w:t>
      </w:r>
      <w:proofErr w:type="spellEnd"/>
      <w:r w:rsidRPr="006B3380">
        <w:rPr>
          <w:i/>
        </w:rPr>
        <w:t xml:space="preserve"> türü ortaklık sözleşmelerinde bu ölçülere dikkat edilmelidir. Zira emek sahibi girişimci ortağın, ücretli yatırım yöneticisinin (vekil) veya </w:t>
      </w:r>
      <w:proofErr w:type="spellStart"/>
      <w:r w:rsidRPr="006B3380">
        <w:rPr>
          <w:i/>
        </w:rPr>
        <w:t>müşareke</w:t>
      </w:r>
      <w:proofErr w:type="spellEnd"/>
      <w:r w:rsidRPr="006B3380">
        <w:rPr>
          <w:i/>
        </w:rPr>
        <w:t xml:space="preserve"> ortaklarından birisinin anaparayı veya kârı garanti etmesini şart koşmak caiz olmadığı gibi bu işlemlerin garantili yatırımlar olduğunu belirterek pazarlama yapmak da caiz değildir</w:t>
      </w:r>
      <w:r>
        <w:t>.”</w:t>
      </w:r>
    </w:p>
  </w:footnote>
  <w:footnote w:id="51">
    <w:p w:rsidR="006B3380" w:rsidRDefault="006B3380" w:rsidP="006B3380">
      <w:pPr>
        <w:pStyle w:val="DipnotMetni"/>
      </w:pPr>
      <w:r>
        <w:rPr>
          <w:rStyle w:val="DipnotBavurusu"/>
        </w:rPr>
        <w:footnoteRef/>
      </w:r>
      <w:r>
        <w:t xml:space="preserve"> “</w:t>
      </w:r>
      <w:r w:rsidRPr="006B3380">
        <w:rPr>
          <w:i/>
        </w:rPr>
        <w:t xml:space="preserve">Tek bir sözleşme içerisinde </w:t>
      </w:r>
      <w:proofErr w:type="gramStart"/>
      <w:r w:rsidRPr="006B3380">
        <w:rPr>
          <w:i/>
        </w:rPr>
        <w:t>vekalet</w:t>
      </w:r>
      <w:proofErr w:type="gramEnd"/>
      <w:r w:rsidRPr="006B3380">
        <w:rPr>
          <w:i/>
        </w:rPr>
        <w:t xml:space="preserve"> ve kefaletin birleştirilmesi yani bir tarafın hem vekil hem de kefil olması caiz değildir. Çünkü bu akitlerin muktezası buna uygun değildir. Ayrıca ücretli yatırım yöneticisinin (vekil) aynı zamanda garanti vermesini (kefil olmasını) şart koşmak, anaparayla birlikte yatırım gelirini garanti ettiği için gerçekleştirilen yatırım işlemini faizli krediye dönüştürür. Fakat </w:t>
      </w:r>
      <w:proofErr w:type="gramStart"/>
      <w:r w:rsidRPr="006B3380">
        <w:rPr>
          <w:i/>
        </w:rPr>
        <w:t>vekalet</w:t>
      </w:r>
      <w:proofErr w:type="gramEnd"/>
      <w:r w:rsidRPr="006B3380">
        <w:rPr>
          <w:i/>
        </w:rPr>
        <w:t xml:space="preserve"> sözleşmesinde kefalet şartı ileri sürülmemişse ve vekil daha sonra ayrı bir sözleşme ile kendisiyle işlem yaptığı kişiye kefil olmuşsa bu durumda o kişiye vekil olması sıfatı bulunmaksızın kefil olmuş demektir. Zaten bu yüzden </w:t>
      </w:r>
      <w:proofErr w:type="gramStart"/>
      <w:r w:rsidRPr="006B3380">
        <w:rPr>
          <w:i/>
        </w:rPr>
        <w:t>vekaletten</w:t>
      </w:r>
      <w:proofErr w:type="gramEnd"/>
      <w:r w:rsidRPr="006B3380">
        <w:rPr>
          <w:i/>
        </w:rPr>
        <w:t xml:space="preserve"> azledilmiş olsa bile kefaleti devam eder.</w:t>
      </w:r>
      <w:r>
        <w:t>”</w:t>
      </w:r>
    </w:p>
  </w:footnote>
  <w:footnote w:id="52">
    <w:p w:rsidR="006B3380" w:rsidRDefault="006B3380">
      <w:pPr>
        <w:pStyle w:val="DipnotMetni"/>
      </w:pPr>
      <w:r>
        <w:rPr>
          <w:rStyle w:val="DipnotBavurusu"/>
        </w:rPr>
        <w:footnoteRef/>
      </w:r>
      <w:r>
        <w:t xml:space="preserve"> </w:t>
      </w:r>
      <w:r w:rsidRPr="006B3380">
        <w:t xml:space="preserve">AAOIFI 17 numaralı standart kararları </w:t>
      </w:r>
      <w:proofErr w:type="spellStart"/>
      <w:r w:rsidRPr="006B3380">
        <w:t>te’kid</w:t>
      </w:r>
      <w:proofErr w:type="spellEnd"/>
      <w:r w:rsidRPr="006B3380">
        <w:t xml:space="preserve"> eden Şubat 2008 ta</w:t>
      </w:r>
      <w:r w:rsidR="006410A9">
        <w:t xml:space="preserve">rihli tavsiye kararları, karar no:4, </w:t>
      </w:r>
      <w:r w:rsidR="006410A9" w:rsidRPr="006410A9">
        <w:t>(Mehmet ODABAŞI tercümesi)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565C"/>
    <w:multiLevelType w:val="hybridMultilevel"/>
    <w:tmpl w:val="7C204118"/>
    <w:lvl w:ilvl="0" w:tplc="B5F4D6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2695FC1"/>
    <w:multiLevelType w:val="hybridMultilevel"/>
    <w:tmpl w:val="BB80A2D8"/>
    <w:lvl w:ilvl="0" w:tplc="7236239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activeWritingStyle w:appName="MSWord" w:lang="tr-TR" w:vendorID="1" w:dllVersion="512"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F5"/>
    <w:rsid w:val="00047CF9"/>
    <w:rsid w:val="00065D99"/>
    <w:rsid w:val="00075FDD"/>
    <w:rsid w:val="0009318C"/>
    <w:rsid w:val="00094F30"/>
    <w:rsid w:val="000B3D4C"/>
    <w:rsid w:val="000C249C"/>
    <w:rsid w:val="000E2B0E"/>
    <w:rsid w:val="000F00EB"/>
    <w:rsid w:val="00117AAC"/>
    <w:rsid w:val="00131D98"/>
    <w:rsid w:val="001A64F5"/>
    <w:rsid w:val="001A739E"/>
    <w:rsid w:val="001B05DD"/>
    <w:rsid w:val="001E09AA"/>
    <w:rsid w:val="001E30E0"/>
    <w:rsid w:val="001F727F"/>
    <w:rsid w:val="00210388"/>
    <w:rsid w:val="002146A5"/>
    <w:rsid w:val="00220773"/>
    <w:rsid w:val="00234304"/>
    <w:rsid w:val="00241E29"/>
    <w:rsid w:val="0024426F"/>
    <w:rsid w:val="00250927"/>
    <w:rsid w:val="00253B1C"/>
    <w:rsid w:val="00256129"/>
    <w:rsid w:val="00273AE0"/>
    <w:rsid w:val="00292000"/>
    <w:rsid w:val="0029349D"/>
    <w:rsid w:val="002957B1"/>
    <w:rsid w:val="00296E5A"/>
    <w:rsid w:val="002A052F"/>
    <w:rsid w:val="002A1A1A"/>
    <w:rsid w:val="002A569D"/>
    <w:rsid w:val="002B641E"/>
    <w:rsid w:val="002E0D0B"/>
    <w:rsid w:val="002F67B7"/>
    <w:rsid w:val="003031F8"/>
    <w:rsid w:val="00306B57"/>
    <w:rsid w:val="00321D3F"/>
    <w:rsid w:val="0035218C"/>
    <w:rsid w:val="00354C9D"/>
    <w:rsid w:val="003C271D"/>
    <w:rsid w:val="003C5CD0"/>
    <w:rsid w:val="003D4AE4"/>
    <w:rsid w:val="003F07C3"/>
    <w:rsid w:val="004053C8"/>
    <w:rsid w:val="00462F2A"/>
    <w:rsid w:val="00485170"/>
    <w:rsid w:val="004972A1"/>
    <w:rsid w:val="004A602C"/>
    <w:rsid w:val="004B14FE"/>
    <w:rsid w:val="004D4520"/>
    <w:rsid w:val="004F3972"/>
    <w:rsid w:val="0050319A"/>
    <w:rsid w:val="005108BF"/>
    <w:rsid w:val="00524AE4"/>
    <w:rsid w:val="00524FEC"/>
    <w:rsid w:val="00546278"/>
    <w:rsid w:val="00554A2B"/>
    <w:rsid w:val="0056490D"/>
    <w:rsid w:val="00565178"/>
    <w:rsid w:val="00566A70"/>
    <w:rsid w:val="00574510"/>
    <w:rsid w:val="005B60FD"/>
    <w:rsid w:val="005C51EC"/>
    <w:rsid w:val="005D1E49"/>
    <w:rsid w:val="005E0CE7"/>
    <w:rsid w:val="005E6E07"/>
    <w:rsid w:val="005E78AC"/>
    <w:rsid w:val="005F6376"/>
    <w:rsid w:val="006333BA"/>
    <w:rsid w:val="006410A9"/>
    <w:rsid w:val="00643F2D"/>
    <w:rsid w:val="006543B5"/>
    <w:rsid w:val="00665E02"/>
    <w:rsid w:val="00670786"/>
    <w:rsid w:val="006869A0"/>
    <w:rsid w:val="00691907"/>
    <w:rsid w:val="00696A22"/>
    <w:rsid w:val="006A1398"/>
    <w:rsid w:val="006B3380"/>
    <w:rsid w:val="006C617D"/>
    <w:rsid w:val="006D1E66"/>
    <w:rsid w:val="006E413E"/>
    <w:rsid w:val="006E7141"/>
    <w:rsid w:val="007248D7"/>
    <w:rsid w:val="00740B2E"/>
    <w:rsid w:val="00745EE7"/>
    <w:rsid w:val="00751C48"/>
    <w:rsid w:val="007854D3"/>
    <w:rsid w:val="00792E9B"/>
    <w:rsid w:val="007A353F"/>
    <w:rsid w:val="007C4A85"/>
    <w:rsid w:val="007E427A"/>
    <w:rsid w:val="007F4E4F"/>
    <w:rsid w:val="00824569"/>
    <w:rsid w:val="008361ED"/>
    <w:rsid w:val="00837189"/>
    <w:rsid w:val="00850706"/>
    <w:rsid w:val="008538CC"/>
    <w:rsid w:val="008626A1"/>
    <w:rsid w:val="00864278"/>
    <w:rsid w:val="008669B3"/>
    <w:rsid w:val="0087389C"/>
    <w:rsid w:val="00874E90"/>
    <w:rsid w:val="00891639"/>
    <w:rsid w:val="008928AE"/>
    <w:rsid w:val="008933D2"/>
    <w:rsid w:val="008A455D"/>
    <w:rsid w:val="008C0AED"/>
    <w:rsid w:val="008C2438"/>
    <w:rsid w:val="008E176E"/>
    <w:rsid w:val="008F398D"/>
    <w:rsid w:val="00943A9E"/>
    <w:rsid w:val="00945685"/>
    <w:rsid w:val="009500E2"/>
    <w:rsid w:val="009624B4"/>
    <w:rsid w:val="00971D02"/>
    <w:rsid w:val="009A5A35"/>
    <w:rsid w:val="009B5579"/>
    <w:rsid w:val="00A00A9A"/>
    <w:rsid w:val="00A10313"/>
    <w:rsid w:val="00A130BE"/>
    <w:rsid w:val="00A17725"/>
    <w:rsid w:val="00A5018D"/>
    <w:rsid w:val="00A57287"/>
    <w:rsid w:val="00AB5850"/>
    <w:rsid w:val="00AD4148"/>
    <w:rsid w:val="00AD60B6"/>
    <w:rsid w:val="00AD6339"/>
    <w:rsid w:val="00AE40F3"/>
    <w:rsid w:val="00B05BA3"/>
    <w:rsid w:val="00B07263"/>
    <w:rsid w:val="00B31B3A"/>
    <w:rsid w:val="00B32119"/>
    <w:rsid w:val="00B82317"/>
    <w:rsid w:val="00BB4C5D"/>
    <w:rsid w:val="00BC0C2C"/>
    <w:rsid w:val="00BD3EDD"/>
    <w:rsid w:val="00BD639E"/>
    <w:rsid w:val="00BE50E5"/>
    <w:rsid w:val="00C16AD7"/>
    <w:rsid w:val="00C520CD"/>
    <w:rsid w:val="00C912BE"/>
    <w:rsid w:val="00CE0E45"/>
    <w:rsid w:val="00D00B02"/>
    <w:rsid w:val="00D2492F"/>
    <w:rsid w:val="00D32855"/>
    <w:rsid w:val="00D36974"/>
    <w:rsid w:val="00D4506E"/>
    <w:rsid w:val="00D710FD"/>
    <w:rsid w:val="00D84DD1"/>
    <w:rsid w:val="00D9301F"/>
    <w:rsid w:val="00D9327B"/>
    <w:rsid w:val="00DA26F7"/>
    <w:rsid w:val="00DB1045"/>
    <w:rsid w:val="00DB2AEC"/>
    <w:rsid w:val="00DC39BE"/>
    <w:rsid w:val="00DD07FF"/>
    <w:rsid w:val="00DD4FAA"/>
    <w:rsid w:val="00E006C5"/>
    <w:rsid w:val="00E24DD2"/>
    <w:rsid w:val="00E252AB"/>
    <w:rsid w:val="00E259EE"/>
    <w:rsid w:val="00E376D9"/>
    <w:rsid w:val="00E377C5"/>
    <w:rsid w:val="00E50788"/>
    <w:rsid w:val="00EA5822"/>
    <w:rsid w:val="00EB4B0E"/>
    <w:rsid w:val="00EC32A9"/>
    <w:rsid w:val="00EC3C0B"/>
    <w:rsid w:val="00EE7DE3"/>
    <w:rsid w:val="00EF21BB"/>
    <w:rsid w:val="00EF312B"/>
    <w:rsid w:val="00F21F64"/>
    <w:rsid w:val="00F90FFE"/>
    <w:rsid w:val="00F91332"/>
    <w:rsid w:val="00F938F0"/>
    <w:rsid w:val="00F93E31"/>
    <w:rsid w:val="00F94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02CC-92EC-42E8-A3F9-1C9455AF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74"/>
    <w:pPr>
      <w:spacing w:after="120" w:line="276" w:lineRule="auto"/>
      <w:jc w:val="both"/>
    </w:pPr>
    <w:rPr>
      <w:rFonts w:ascii="Times New Roman" w:hAnsi="Times New Roman"/>
      <w:sz w:val="26"/>
    </w:rPr>
  </w:style>
  <w:style w:type="paragraph" w:styleId="Balk4">
    <w:name w:val="heading 4"/>
    <w:basedOn w:val="Normal"/>
    <w:next w:val="Normal"/>
    <w:link w:val="Balk4Char"/>
    <w:uiPriority w:val="9"/>
    <w:semiHidden/>
    <w:unhideWhenUsed/>
    <w:qFormat/>
    <w:rsid w:val="004851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B58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5850"/>
    <w:rPr>
      <w:rFonts w:ascii="Arial" w:hAnsi="Arial"/>
      <w:sz w:val="20"/>
      <w:szCs w:val="20"/>
    </w:rPr>
  </w:style>
  <w:style w:type="character" w:styleId="DipnotBavurusu">
    <w:name w:val="footnote reference"/>
    <w:basedOn w:val="VarsaylanParagrafYazTipi"/>
    <w:semiHidden/>
    <w:unhideWhenUsed/>
    <w:rsid w:val="00AB5850"/>
    <w:rPr>
      <w:vertAlign w:val="superscript"/>
    </w:rPr>
  </w:style>
  <w:style w:type="character" w:customStyle="1" w:styleId="Balk4Char">
    <w:name w:val="Başlık 4 Char"/>
    <w:basedOn w:val="VarsaylanParagrafYazTipi"/>
    <w:link w:val="Balk4"/>
    <w:uiPriority w:val="9"/>
    <w:semiHidden/>
    <w:rsid w:val="00485170"/>
    <w:rPr>
      <w:rFonts w:asciiTheme="majorHAnsi" w:eastAsiaTheme="majorEastAsia" w:hAnsiTheme="majorHAnsi" w:cstheme="majorBidi"/>
      <w:i/>
      <w:iCs/>
      <w:color w:val="2E74B5" w:themeColor="accent1" w:themeShade="BF"/>
    </w:rPr>
  </w:style>
  <w:style w:type="character" w:styleId="Kpr">
    <w:name w:val="Hyperlink"/>
    <w:basedOn w:val="VarsaylanParagrafYazTipi"/>
    <w:uiPriority w:val="99"/>
    <w:unhideWhenUsed/>
    <w:rsid w:val="00E376D9"/>
    <w:rPr>
      <w:color w:val="0563C1" w:themeColor="hyperlink"/>
      <w:u w:val="single"/>
    </w:rPr>
  </w:style>
  <w:style w:type="paragraph" w:styleId="NormalWeb">
    <w:name w:val="Normal (Web)"/>
    <w:basedOn w:val="Normal"/>
    <w:uiPriority w:val="99"/>
    <w:semiHidden/>
    <w:unhideWhenUsed/>
    <w:rsid w:val="000C249C"/>
    <w:rPr>
      <w:rFonts w:cs="Times New Roman"/>
      <w:sz w:val="24"/>
      <w:szCs w:val="24"/>
    </w:rPr>
  </w:style>
  <w:style w:type="paragraph" w:styleId="ListeParagraf">
    <w:name w:val="List Paragraph"/>
    <w:basedOn w:val="Normal"/>
    <w:uiPriority w:val="34"/>
    <w:qFormat/>
    <w:rsid w:val="00F9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6530">
      <w:bodyDiv w:val="1"/>
      <w:marLeft w:val="0"/>
      <w:marRight w:val="0"/>
      <w:marTop w:val="0"/>
      <w:marBottom w:val="0"/>
      <w:divBdr>
        <w:top w:val="none" w:sz="0" w:space="0" w:color="auto"/>
        <w:left w:val="none" w:sz="0" w:space="0" w:color="auto"/>
        <w:bottom w:val="none" w:sz="0" w:space="0" w:color="auto"/>
        <w:right w:val="none" w:sz="0" w:space="0" w:color="auto"/>
      </w:divBdr>
    </w:div>
    <w:div w:id="725497355">
      <w:bodyDiv w:val="1"/>
      <w:marLeft w:val="0"/>
      <w:marRight w:val="0"/>
      <w:marTop w:val="0"/>
      <w:marBottom w:val="0"/>
      <w:divBdr>
        <w:top w:val="none" w:sz="0" w:space="0" w:color="auto"/>
        <w:left w:val="none" w:sz="0" w:space="0" w:color="auto"/>
        <w:bottom w:val="none" w:sz="0" w:space="0" w:color="auto"/>
        <w:right w:val="none" w:sz="0" w:space="0" w:color="auto"/>
      </w:divBdr>
    </w:div>
    <w:div w:id="862788772">
      <w:bodyDiv w:val="1"/>
      <w:marLeft w:val="0"/>
      <w:marRight w:val="0"/>
      <w:marTop w:val="0"/>
      <w:marBottom w:val="0"/>
      <w:divBdr>
        <w:top w:val="none" w:sz="0" w:space="0" w:color="auto"/>
        <w:left w:val="none" w:sz="0" w:space="0" w:color="auto"/>
        <w:bottom w:val="none" w:sz="0" w:space="0" w:color="auto"/>
        <w:right w:val="none" w:sz="0" w:space="0" w:color="auto"/>
      </w:divBdr>
    </w:div>
    <w:div w:id="966742313">
      <w:bodyDiv w:val="1"/>
      <w:marLeft w:val="0"/>
      <w:marRight w:val="0"/>
      <w:marTop w:val="0"/>
      <w:marBottom w:val="0"/>
      <w:divBdr>
        <w:top w:val="none" w:sz="0" w:space="0" w:color="auto"/>
        <w:left w:val="none" w:sz="0" w:space="0" w:color="auto"/>
        <w:bottom w:val="none" w:sz="0" w:space="0" w:color="auto"/>
        <w:right w:val="none" w:sz="0" w:space="0" w:color="auto"/>
      </w:divBdr>
    </w:div>
    <w:div w:id="991178459">
      <w:bodyDiv w:val="1"/>
      <w:marLeft w:val="0"/>
      <w:marRight w:val="0"/>
      <w:marTop w:val="0"/>
      <w:marBottom w:val="0"/>
      <w:divBdr>
        <w:top w:val="none" w:sz="0" w:space="0" w:color="auto"/>
        <w:left w:val="none" w:sz="0" w:space="0" w:color="auto"/>
        <w:bottom w:val="none" w:sz="0" w:space="0" w:color="auto"/>
        <w:right w:val="none" w:sz="0" w:space="0" w:color="auto"/>
      </w:divBdr>
    </w:div>
    <w:div w:id="1169052947">
      <w:bodyDiv w:val="1"/>
      <w:marLeft w:val="0"/>
      <w:marRight w:val="0"/>
      <w:marTop w:val="0"/>
      <w:marBottom w:val="0"/>
      <w:divBdr>
        <w:top w:val="none" w:sz="0" w:space="0" w:color="auto"/>
        <w:left w:val="none" w:sz="0" w:space="0" w:color="auto"/>
        <w:bottom w:val="none" w:sz="0" w:space="0" w:color="auto"/>
        <w:right w:val="none" w:sz="0" w:space="0" w:color="auto"/>
      </w:divBdr>
    </w:div>
    <w:div w:id="14056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mbb/files/tc474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7489-FC20-4F93-91B9-5D3AB449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14</Pages>
  <Words>4177</Words>
  <Characters>23810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Halaçoğlu</dc:creator>
  <cp:keywords/>
  <dc:description/>
  <cp:lastModifiedBy>Bekir Halaçoğlu</cp:lastModifiedBy>
  <cp:revision>99</cp:revision>
  <dcterms:created xsi:type="dcterms:W3CDTF">2016-03-02T07:18:00Z</dcterms:created>
  <dcterms:modified xsi:type="dcterms:W3CDTF">2016-03-13T21:09:00Z</dcterms:modified>
</cp:coreProperties>
</file>