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0CE" w:rsidRPr="00727871" w:rsidRDefault="00EB10CE" w:rsidP="00137632">
      <w:pPr>
        <w:jc w:val="center"/>
        <w:rPr>
          <w:rFonts w:ascii="Verdana" w:hAnsi="Verdana"/>
          <w:b/>
          <w:sz w:val="24"/>
          <w:szCs w:val="24"/>
          <w:lang w:val="en-US"/>
        </w:rPr>
      </w:pPr>
      <w:r w:rsidRPr="00727871">
        <w:rPr>
          <w:rFonts w:ascii="Verdana" w:hAnsi="Verdana"/>
          <w:b/>
          <w:sz w:val="24"/>
          <w:szCs w:val="24"/>
          <w:lang w:val="en-US"/>
        </w:rPr>
        <w:t>TÜRKİYE’DE KATILIM BANKALARI,</w:t>
      </w:r>
    </w:p>
    <w:p w:rsidR="00EB10CE" w:rsidRDefault="00EB10CE" w:rsidP="00137632">
      <w:pPr>
        <w:jc w:val="center"/>
        <w:rPr>
          <w:rFonts w:ascii="Verdana" w:hAnsi="Verdana"/>
          <w:b/>
          <w:sz w:val="24"/>
          <w:szCs w:val="24"/>
          <w:lang w:val="en-US"/>
        </w:rPr>
      </w:pPr>
      <w:r w:rsidRPr="00727871">
        <w:rPr>
          <w:rFonts w:ascii="Verdana" w:hAnsi="Verdana"/>
          <w:b/>
          <w:sz w:val="24"/>
          <w:szCs w:val="24"/>
          <w:lang w:val="en-US"/>
        </w:rPr>
        <w:t>HALA GİD</w:t>
      </w:r>
      <w:r w:rsidR="000C3784" w:rsidRPr="00727871">
        <w:rPr>
          <w:rFonts w:ascii="Verdana" w:hAnsi="Verdana"/>
          <w:b/>
          <w:sz w:val="24"/>
          <w:szCs w:val="24"/>
          <w:lang w:val="en-US"/>
        </w:rPr>
        <w:t>İL</w:t>
      </w:r>
      <w:r w:rsidRPr="00727871">
        <w:rPr>
          <w:rFonts w:ascii="Verdana" w:hAnsi="Verdana"/>
          <w:b/>
          <w:sz w:val="24"/>
          <w:szCs w:val="24"/>
          <w:lang w:val="en-US"/>
        </w:rPr>
        <w:t xml:space="preserve">ECEK </w:t>
      </w:r>
      <w:r w:rsidR="00F654BE" w:rsidRPr="00727871">
        <w:rPr>
          <w:rFonts w:ascii="Verdana" w:hAnsi="Verdana"/>
          <w:b/>
          <w:sz w:val="24"/>
          <w:szCs w:val="24"/>
          <w:lang w:val="en-US"/>
        </w:rPr>
        <w:t>YER</w:t>
      </w:r>
      <w:r w:rsidRPr="00727871">
        <w:rPr>
          <w:rFonts w:ascii="Verdana" w:hAnsi="Verdana"/>
          <w:b/>
          <w:sz w:val="24"/>
          <w:szCs w:val="24"/>
          <w:lang w:val="en-US"/>
        </w:rPr>
        <w:t xml:space="preserve"> VAR MI?</w:t>
      </w:r>
    </w:p>
    <w:p w:rsidR="00436E63" w:rsidRDefault="00EB10CE" w:rsidP="00436E63">
      <w:pPr>
        <w:spacing w:after="0"/>
        <w:jc w:val="both"/>
        <w:rPr>
          <w:lang w:val="en-US"/>
        </w:rPr>
      </w:pPr>
      <w:r w:rsidRPr="00203302">
        <w:rPr>
          <w:lang w:val="en-US"/>
        </w:rPr>
        <w:t>GİRİŞ</w:t>
      </w:r>
    </w:p>
    <w:p w:rsidR="00203302" w:rsidRPr="00203302" w:rsidRDefault="00203302" w:rsidP="00436E63">
      <w:pPr>
        <w:spacing w:after="0"/>
        <w:jc w:val="both"/>
        <w:rPr>
          <w:lang w:val="en-US"/>
        </w:rPr>
      </w:pPr>
    </w:p>
    <w:p w:rsidR="00AF5872" w:rsidRDefault="00EB10CE" w:rsidP="00436E63">
      <w:pPr>
        <w:spacing w:after="0"/>
        <w:jc w:val="both"/>
        <w:rPr>
          <w:lang w:val="en-US"/>
        </w:rPr>
      </w:pPr>
      <w:proofErr w:type="gramStart"/>
      <w:r>
        <w:rPr>
          <w:lang w:val="en-US"/>
        </w:rPr>
        <w:t xml:space="preserve">Türkiye yeni binyıla ciddi ekonomik problemlerle girdi ve </w:t>
      </w:r>
      <w:r w:rsidR="00EE41D8">
        <w:rPr>
          <w:lang w:val="en-US"/>
        </w:rPr>
        <w:t xml:space="preserve">%9.4 </w:t>
      </w:r>
      <w:proofErr w:type="spellStart"/>
      <w:r w:rsidR="00EE41D8">
        <w:rPr>
          <w:lang w:val="en-US"/>
        </w:rPr>
        <w:t>küçülen</w:t>
      </w:r>
      <w:proofErr w:type="spellEnd"/>
      <w:r w:rsidR="00EE41D8">
        <w:rPr>
          <w:lang w:val="en-US"/>
        </w:rPr>
        <w:t xml:space="preserve"> </w:t>
      </w:r>
      <w:proofErr w:type="spellStart"/>
      <w:r w:rsidR="00EE41D8">
        <w:rPr>
          <w:lang w:val="en-US"/>
        </w:rPr>
        <w:t>GSYH’sı</w:t>
      </w:r>
      <w:proofErr w:type="spellEnd"/>
      <w:r w:rsidR="00EE41D8">
        <w:rPr>
          <w:lang w:val="en-US"/>
        </w:rPr>
        <w:t xml:space="preserve"> </w:t>
      </w:r>
      <w:proofErr w:type="spellStart"/>
      <w:r w:rsidR="00EE41D8">
        <w:rPr>
          <w:lang w:val="en-US"/>
        </w:rPr>
        <w:t>ile</w:t>
      </w:r>
      <w:proofErr w:type="spellEnd"/>
      <w:r w:rsidR="00EE41D8">
        <w:rPr>
          <w:lang w:val="en-US"/>
        </w:rPr>
        <w:t xml:space="preserve"> </w:t>
      </w:r>
      <w:r>
        <w:rPr>
          <w:lang w:val="en-US"/>
        </w:rPr>
        <w:t>20</w:t>
      </w:r>
      <w:r w:rsidR="000948E1">
        <w:rPr>
          <w:lang w:val="en-US"/>
        </w:rPr>
        <w:t>0</w:t>
      </w:r>
      <w:r>
        <w:rPr>
          <w:lang w:val="en-US"/>
        </w:rPr>
        <w:t xml:space="preserve">1’deki </w:t>
      </w:r>
      <w:proofErr w:type="spellStart"/>
      <w:r w:rsidR="00EE41D8">
        <w:rPr>
          <w:lang w:val="en-US"/>
        </w:rPr>
        <w:t>yıkıcı</w:t>
      </w:r>
      <w:proofErr w:type="spellEnd"/>
      <w:r>
        <w:rPr>
          <w:lang w:val="en-US"/>
        </w:rPr>
        <w:t xml:space="preserve"> </w:t>
      </w:r>
      <w:proofErr w:type="spellStart"/>
      <w:r>
        <w:rPr>
          <w:lang w:val="en-US"/>
        </w:rPr>
        <w:t>krizi</w:t>
      </w:r>
      <w:proofErr w:type="spellEnd"/>
      <w:r>
        <w:rPr>
          <w:lang w:val="en-US"/>
        </w:rPr>
        <w:t xml:space="preserve"> </w:t>
      </w:r>
      <w:proofErr w:type="spellStart"/>
      <w:r w:rsidR="000C3784">
        <w:rPr>
          <w:lang w:val="en-US"/>
        </w:rPr>
        <w:t>önle</w:t>
      </w:r>
      <w:r w:rsidR="00EE41D8">
        <w:rPr>
          <w:lang w:val="en-US"/>
        </w:rPr>
        <w:t>meyi</w:t>
      </w:r>
      <w:proofErr w:type="spellEnd"/>
      <w:r w:rsidR="00EE41D8">
        <w:rPr>
          <w:lang w:val="en-US"/>
        </w:rPr>
        <w:t xml:space="preserve"> başaramadı.</w:t>
      </w:r>
      <w:proofErr w:type="gramEnd"/>
      <w:r w:rsidR="00303656">
        <w:rPr>
          <w:lang w:val="en-US"/>
        </w:rPr>
        <w:t xml:space="preserve"> </w:t>
      </w:r>
      <w:proofErr w:type="gramStart"/>
      <w:r w:rsidR="00303656">
        <w:rPr>
          <w:lang w:val="en-US"/>
        </w:rPr>
        <w:t>20</w:t>
      </w:r>
      <w:r w:rsidR="000948E1">
        <w:rPr>
          <w:lang w:val="en-US"/>
        </w:rPr>
        <w:t>0</w:t>
      </w:r>
      <w:r w:rsidR="00303656">
        <w:rPr>
          <w:lang w:val="en-US"/>
        </w:rPr>
        <w:t xml:space="preserve">1 </w:t>
      </w:r>
      <w:proofErr w:type="spellStart"/>
      <w:r w:rsidR="00303656">
        <w:rPr>
          <w:lang w:val="en-US"/>
        </w:rPr>
        <w:t>yılının</w:t>
      </w:r>
      <w:proofErr w:type="spellEnd"/>
      <w:r w:rsidR="00303656">
        <w:rPr>
          <w:lang w:val="en-US"/>
        </w:rPr>
        <w:t xml:space="preserve"> </w:t>
      </w:r>
      <w:proofErr w:type="spellStart"/>
      <w:r w:rsidR="00303656">
        <w:rPr>
          <w:lang w:val="en-US"/>
        </w:rPr>
        <w:t>hemen</w:t>
      </w:r>
      <w:proofErr w:type="spellEnd"/>
      <w:r w:rsidR="00303656">
        <w:rPr>
          <w:lang w:val="en-US"/>
        </w:rPr>
        <w:t xml:space="preserve"> </w:t>
      </w:r>
      <w:proofErr w:type="spellStart"/>
      <w:r w:rsidR="00303656">
        <w:rPr>
          <w:lang w:val="en-US"/>
        </w:rPr>
        <w:t>başları</w:t>
      </w:r>
      <w:r w:rsidR="000C3784">
        <w:rPr>
          <w:lang w:val="en-US"/>
        </w:rPr>
        <w:t>nda</w:t>
      </w:r>
      <w:proofErr w:type="spellEnd"/>
      <w:r w:rsidR="000C3784">
        <w:rPr>
          <w:lang w:val="en-US"/>
        </w:rPr>
        <w:t xml:space="preserve"> finansal bir kabusa yol açan bu krizden öncelikle ve en</w:t>
      </w:r>
      <w:r w:rsidR="00EE41D8">
        <w:rPr>
          <w:lang w:val="en-US"/>
        </w:rPr>
        <w:t xml:space="preserve"> fazla Türk bankacılık sektörü</w:t>
      </w:r>
      <w:r w:rsidR="000C3784">
        <w:rPr>
          <w:lang w:val="en-US"/>
        </w:rPr>
        <w:t xml:space="preserve"> etkilendi.</w:t>
      </w:r>
      <w:proofErr w:type="gramEnd"/>
      <w:r w:rsidR="00303656">
        <w:rPr>
          <w:lang w:val="en-US"/>
        </w:rPr>
        <w:t xml:space="preserve"> </w:t>
      </w:r>
      <w:proofErr w:type="spellStart"/>
      <w:proofErr w:type="gramStart"/>
      <w:r w:rsidR="00303656">
        <w:rPr>
          <w:lang w:val="en-US"/>
        </w:rPr>
        <w:t>Bunu</w:t>
      </w:r>
      <w:r w:rsidR="000C3784">
        <w:rPr>
          <w:lang w:val="en-US"/>
        </w:rPr>
        <w:t>n</w:t>
      </w:r>
      <w:proofErr w:type="spellEnd"/>
      <w:r w:rsidR="000C3784">
        <w:rPr>
          <w:lang w:val="en-US"/>
        </w:rPr>
        <w:t xml:space="preserve"> </w:t>
      </w:r>
      <w:proofErr w:type="spellStart"/>
      <w:r w:rsidR="000C3784">
        <w:rPr>
          <w:lang w:val="en-US"/>
        </w:rPr>
        <w:t>ardından</w:t>
      </w:r>
      <w:proofErr w:type="spellEnd"/>
      <w:r w:rsidR="00303656">
        <w:rPr>
          <w:lang w:val="en-US"/>
        </w:rPr>
        <w:t xml:space="preserve"> </w:t>
      </w:r>
      <w:proofErr w:type="spellStart"/>
      <w:r w:rsidR="00303656">
        <w:rPr>
          <w:lang w:val="en-US"/>
        </w:rPr>
        <w:t>sektör</w:t>
      </w:r>
      <w:r w:rsidR="000948E1">
        <w:rPr>
          <w:lang w:val="en-US"/>
        </w:rPr>
        <w:t>ün</w:t>
      </w:r>
      <w:proofErr w:type="spellEnd"/>
      <w:r w:rsidR="00303656">
        <w:rPr>
          <w:lang w:val="en-US"/>
        </w:rPr>
        <w:t xml:space="preserve"> </w:t>
      </w:r>
      <w:proofErr w:type="spellStart"/>
      <w:r w:rsidR="00303656">
        <w:rPr>
          <w:lang w:val="en-US"/>
        </w:rPr>
        <w:t>aktif</w:t>
      </w:r>
      <w:proofErr w:type="spellEnd"/>
      <w:r w:rsidR="00303656">
        <w:rPr>
          <w:lang w:val="en-US"/>
        </w:rPr>
        <w:t xml:space="preserve"> </w:t>
      </w:r>
      <w:proofErr w:type="spellStart"/>
      <w:r w:rsidR="00303656">
        <w:rPr>
          <w:lang w:val="en-US"/>
        </w:rPr>
        <w:t>kalitesinde</w:t>
      </w:r>
      <w:proofErr w:type="spellEnd"/>
      <w:r w:rsidR="00303656">
        <w:rPr>
          <w:lang w:val="en-US"/>
        </w:rPr>
        <w:t xml:space="preserve"> </w:t>
      </w:r>
      <w:proofErr w:type="spellStart"/>
      <w:r w:rsidR="00303656">
        <w:rPr>
          <w:lang w:val="en-US"/>
        </w:rPr>
        <w:t>ciddi</w:t>
      </w:r>
      <w:proofErr w:type="spellEnd"/>
      <w:r w:rsidR="00303656">
        <w:rPr>
          <w:lang w:val="en-US"/>
        </w:rPr>
        <w:t xml:space="preserve"> bozulmalar </w:t>
      </w:r>
      <w:r w:rsidR="001A4E7C">
        <w:rPr>
          <w:lang w:val="en-US"/>
        </w:rPr>
        <w:t>görüldü</w:t>
      </w:r>
      <w:r w:rsidR="00EE41D8">
        <w:rPr>
          <w:lang w:val="en-US"/>
        </w:rPr>
        <w:t>.</w:t>
      </w:r>
      <w:proofErr w:type="gramEnd"/>
      <w:r w:rsidR="00EE41D8">
        <w:rPr>
          <w:lang w:val="en-US"/>
        </w:rPr>
        <w:t xml:space="preserve"> Bu can sıkıcı</w:t>
      </w:r>
      <w:r w:rsidR="00303656">
        <w:rPr>
          <w:lang w:val="en-US"/>
        </w:rPr>
        <w:t xml:space="preserve"> krizin bir sonucu olarak yıl sonuna kadar nerdeyse yirmi banka </w:t>
      </w:r>
      <w:r w:rsidR="001A4E7C">
        <w:rPr>
          <w:lang w:val="en-US"/>
        </w:rPr>
        <w:t>düzenleyici kurumlar</w:t>
      </w:r>
      <w:r w:rsidR="00303656">
        <w:rPr>
          <w:lang w:val="en-US"/>
        </w:rPr>
        <w:t xml:space="preserve"> tarafından </w:t>
      </w:r>
      <w:r w:rsidR="00EE41D8">
        <w:rPr>
          <w:lang w:val="en-US"/>
        </w:rPr>
        <w:t>kamulaştırıldı</w:t>
      </w:r>
      <w:r w:rsidR="00303656">
        <w:rPr>
          <w:lang w:val="en-US"/>
        </w:rPr>
        <w:t xml:space="preserve">. </w:t>
      </w:r>
      <w:proofErr w:type="gramStart"/>
      <w:r w:rsidR="00AF5872">
        <w:rPr>
          <w:lang w:val="en-US"/>
        </w:rPr>
        <w:t xml:space="preserve">Sonraki iki yıl </w:t>
      </w:r>
      <w:r w:rsidR="000948E1">
        <w:rPr>
          <w:lang w:val="en-US"/>
        </w:rPr>
        <w:t xml:space="preserve">boyunca yaşanan </w:t>
      </w:r>
      <w:proofErr w:type="spellStart"/>
      <w:r w:rsidR="00AF5872">
        <w:rPr>
          <w:lang w:val="en-US"/>
        </w:rPr>
        <w:t>b</w:t>
      </w:r>
      <w:r w:rsidR="00303656">
        <w:rPr>
          <w:lang w:val="en-US"/>
        </w:rPr>
        <w:t>ilançoları</w:t>
      </w:r>
      <w:proofErr w:type="spellEnd"/>
      <w:r w:rsidR="00303656">
        <w:rPr>
          <w:lang w:val="en-US"/>
        </w:rPr>
        <w:t xml:space="preserve"> </w:t>
      </w:r>
      <w:proofErr w:type="spellStart"/>
      <w:r w:rsidR="00303656">
        <w:rPr>
          <w:lang w:val="en-US"/>
        </w:rPr>
        <w:t>toparlamaya</w:t>
      </w:r>
      <w:proofErr w:type="spellEnd"/>
      <w:r w:rsidR="00303656">
        <w:rPr>
          <w:lang w:val="en-US"/>
        </w:rPr>
        <w:t xml:space="preserve"> </w:t>
      </w:r>
      <w:proofErr w:type="spellStart"/>
      <w:r w:rsidR="00303656">
        <w:rPr>
          <w:lang w:val="en-US"/>
        </w:rPr>
        <w:t>yöneli</w:t>
      </w:r>
      <w:r w:rsidR="00AF5872">
        <w:rPr>
          <w:lang w:val="en-US"/>
        </w:rPr>
        <w:t>k</w:t>
      </w:r>
      <w:proofErr w:type="spellEnd"/>
      <w:r w:rsidR="00AF5872">
        <w:rPr>
          <w:lang w:val="en-US"/>
        </w:rPr>
        <w:t xml:space="preserve"> </w:t>
      </w:r>
      <w:proofErr w:type="spellStart"/>
      <w:r w:rsidR="00AF5872">
        <w:rPr>
          <w:lang w:val="en-US"/>
        </w:rPr>
        <w:t>rehabilitasyon</w:t>
      </w:r>
      <w:proofErr w:type="spellEnd"/>
      <w:r w:rsidR="00AF5872">
        <w:rPr>
          <w:lang w:val="en-US"/>
        </w:rPr>
        <w:t xml:space="preserve"> </w:t>
      </w:r>
      <w:proofErr w:type="spellStart"/>
      <w:r w:rsidR="00AF5872">
        <w:rPr>
          <w:lang w:val="en-US"/>
        </w:rPr>
        <w:t>döneminin</w:t>
      </w:r>
      <w:proofErr w:type="spellEnd"/>
      <w:r w:rsidR="00AF5872">
        <w:rPr>
          <w:lang w:val="en-US"/>
        </w:rPr>
        <w:t xml:space="preserve"> </w:t>
      </w:r>
      <w:proofErr w:type="spellStart"/>
      <w:r w:rsidR="00AF5872">
        <w:rPr>
          <w:lang w:val="en-US"/>
        </w:rPr>
        <w:t>ardından</w:t>
      </w:r>
      <w:proofErr w:type="spellEnd"/>
      <w:r w:rsidR="00AF5872">
        <w:rPr>
          <w:lang w:val="en-US"/>
        </w:rPr>
        <w:t xml:space="preserve"> </w:t>
      </w:r>
      <w:proofErr w:type="spellStart"/>
      <w:r w:rsidR="00AF5872">
        <w:rPr>
          <w:lang w:val="en-US"/>
        </w:rPr>
        <w:t>Ekim</w:t>
      </w:r>
      <w:proofErr w:type="spellEnd"/>
      <w:r w:rsidR="00AF5872">
        <w:rPr>
          <w:lang w:val="en-US"/>
        </w:rPr>
        <w:t xml:space="preserve"> 2008’deki kür</w:t>
      </w:r>
      <w:r w:rsidR="000C3784">
        <w:rPr>
          <w:lang w:val="en-US"/>
        </w:rPr>
        <w:t>e</w:t>
      </w:r>
      <w:r w:rsidR="00AF5872">
        <w:rPr>
          <w:lang w:val="en-US"/>
        </w:rPr>
        <w:t>sel krize dek finansal sistem gözle görülür bir büyüme ve derinlik yaşadı</w:t>
      </w:r>
      <w:r w:rsidR="000C3784">
        <w:rPr>
          <w:lang w:val="en-US"/>
        </w:rPr>
        <w:t>.</w:t>
      </w:r>
      <w:proofErr w:type="gramEnd"/>
      <w:r w:rsidR="000C3784">
        <w:rPr>
          <w:lang w:val="en-US"/>
        </w:rPr>
        <w:t xml:space="preserve"> B</w:t>
      </w:r>
      <w:r w:rsidR="00AF5872">
        <w:rPr>
          <w:lang w:val="en-US"/>
        </w:rPr>
        <w:t>u yükseliş dönemi boyunca pek çok büyük finansal grup Türk Bankacılık Sektörü’ne yatırım yaptı ve görece yüksek fiyatlarla hakim hisseleri satın aldı.</w:t>
      </w:r>
    </w:p>
    <w:p w:rsidR="00AF5872" w:rsidRDefault="00AF5872" w:rsidP="00436E63">
      <w:pPr>
        <w:spacing w:after="0"/>
        <w:jc w:val="both"/>
        <w:rPr>
          <w:lang w:val="en-US"/>
        </w:rPr>
      </w:pPr>
    </w:p>
    <w:p w:rsidR="002069F9" w:rsidRPr="00F6631D" w:rsidRDefault="00AF5872" w:rsidP="00436E63">
      <w:pPr>
        <w:spacing w:after="0"/>
        <w:jc w:val="both"/>
        <w:rPr>
          <w:lang w:val="en-US"/>
        </w:rPr>
      </w:pPr>
      <w:r>
        <w:rPr>
          <w:lang w:val="en-US"/>
        </w:rPr>
        <w:t xml:space="preserve">Türk bankacılık sektörü, </w:t>
      </w:r>
      <w:r w:rsidR="00EE41D8">
        <w:rPr>
          <w:lang w:val="en-US"/>
        </w:rPr>
        <w:t>sürmekte olan</w:t>
      </w:r>
      <w:r>
        <w:rPr>
          <w:lang w:val="en-US"/>
        </w:rPr>
        <w:t xml:space="preserve"> </w:t>
      </w:r>
      <w:r w:rsidR="00EE41D8">
        <w:rPr>
          <w:lang w:val="en-US"/>
        </w:rPr>
        <w:t>karışıklığa</w:t>
      </w:r>
      <w:r>
        <w:rPr>
          <w:lang w:val="en-US"/>
        </w:rPr>
        <w:t xml:space="preserve"> bağlı olarak büyük kayıplara maruz kalan uluslararası bankalara </w:t>
      </w:r>
      <w:r w:rsidR="00F654BE">
        <w:rPr>
          <w:lang w:val="en-US"/>
        </w:rPr>
        <w:t>oranla</w:t>
      </w:r>
      <w:r>
        <w:rPr>
          <w:lang w:val="en-US"/>
        </w:rPr>
        <w:t xml:space="preserve"> küresel finansal krizden daha az etkilendi. 2009’da ulusal ekonominin </w:t>
      </w:r>
      <w:r w:rsidR="001A4E7C">
        <w:rPr>
          <w:lang w:val="en-US"/>
        </w:rPr>
        <w:t xml:space="preserve">durgunlaşmasına </w:t>
      </w:r>
      <w:r>
        <w:rPr>
          <w:lang w:val="en-US"/>
        </w:rPr>
        <w:t xml:space="preserve">rağmen </w:t>
      </w:r>
      <w:r w:rsidR="00C13841">
        <w:rPr>
          <w:lang w:val="en-US"/>
        </w:rPr>
        <w:t xml:space="preserve">bu dönemde </w:t>
      </w:r>
      <w:r>
        <w:rPr>
          <w:lang w:val="en-US"/>
        </w:rPr>
        <w:t xml:space="preserve">Türk bankaları, </w:t>
      </w:r>
      <w:r w:rsidR="00EB6AEA">
        <w:rPr>
          <w:lang w:val="en-US"/>
        </w:rPr>
        <w:t>güçlü</w:t>
      </w:r>
      <w:r w:rsidR="00C13841">
        <w:rPr>
          <w:lang w:val="en-US"/>
        </w:rPr>
        <w:t xml:space="preserve"> altyap</w:t>
      </w:r>
      <w:r w:rsidR="00F654BE">
        <w:rPr>
          <w:lang w:val="en-US"/>
        </w:rPr>
        <w:t>ı</w:t>
      </w:r>
      <w:r w:rsidR="00C13841">
        <w:rPr>
          <w:lang w:val="en-US"/>
        </w:rPr>
        <w:t>lar</w:t>
      </w:r>
      <w:r w:rsidR="002069F9">
        <w:rPr>
          <w:lang w:val="en-US"/>
        </w:rPr>
        <w:t>ı ve özellikle</w:t>
      </w:r>
      <w:r w:rsidR="00EB6AEA">
        <w:rPr>
          <w:lang w:val="en-US"/>
        </w:rPr>
        <w:t xml:space="preserve"> </w:t>
      </w:r>
      <w:proofErr w:type="spellStart"/>
      <w:r w:rsidR="00EB6AEA">
        <w:rPr>
          <w:lang w:val="en-US"/>
        </w:rPr>
        <w:t>başarılı</w:t>
      </w:r>
      <w:proofErr w:type="spellEnd"/>
      <w:r w:rsidR="00EB6AEA">
        <w:rPr>
          <w:lang w:val="en-US"/>
        </w:rPr>
        <w:t xml:space="preserve"> risk </w:t>
      </w:r>
      <w:proofErr w:type="spellStart"/>
      <w:r w:rsidR="00EB6AEA">
        <w:rPr>
          <w:lang w:val="en-US"/>
        </w:rPr>
        <w:t>yönetimi</w:t>
      </w:r>
      <w:proofErr w:type="spellEnd"/>
      <w:r w:rsidR="00EB6AEA">
        <w:rPr>
          <w:lang w:val="en-US"/>
        </w:rPr>
        <w:t xml:space="preserve"> </w:t>
      </w:r>
      <w:proofErr w:type="spellStart"/>
      <w:r w:rsidR="000948E1">
        <w:rPr>
          <w:lang w:val="en-US"/>
        </w:rPr>
        <w:t>ve</w:t>
      </w:r>
      <w:proofErr w:type="spellEnd"/>
      <w:r w:rsidR="000948E1">
        <w:rPr>
          <w:lang w:val="en-US"/>
        </w:rPr>
        <w:t xml:space="preserve"> </w:t>
      </w:r>
      <w:proofErr w:type="spellStart"/>
      <w:r w:rsidR="00EB6AEA">
        <w:rPr>
          <w:lang w:val="en-US"/>
        </w:rPr>
        <w:t>iç</w:t>
      </w:r>
      <w:proofErr w:type="spellEnd"/>
      <w:r w:rsidR="00EB6AEA">
        <w:rPr>
          <w:lang w:val="en-US"/>
        </w:rPr>
        <w:t xml:space="preserve"> </w:t>
      </w:r>
      <w:proofErr w:type="spellStart"/>
      <w:r w:rsidR="00EB6AEA">
        <w:rPr>
          <w:lang w:val="en-US"/>
        </w:rPr>
        <w:t>k</w:t>
      </w:r>
      <w:r w:rsidR="00C13841">
        <w:rPr>
          <w:lang w:val="en-US"/>
        </w:rPr>
        <w:t>ontrol</w:t>
      </w:r>
      <w:proofErr w:type="spellEnd"/>
      <w:r w:rsidR="00C13841">
        <w:rPr>
          <w:lang w:val="en-US"/>
        </w:rPr>
        <w:t xml:space="preserve"> </w:t>
      </w:r>
      <w:proofErr w:type="spellStart"/>
      <w:r w:rsidR="00C13841">
        <w:rPr>
          <w:lang w:val="en-US"/>
        </w:rPr>
        <w:t>sistemleri</w:t>
      </w:r>
      <w:proofErr w:type="spellEnd"/>
      <w:r w:rsidR="00C13841">
        <w:rPr>
          <w:lang w:val="en-US"/>
        </w:rPr>
        <w:t xml:space="preserve"> sayesinde</w:t>
      </w:r>
      <w:r w:rsidR="002069F9">
        <w:rPr>
          <w:lang w:val="en-US"/>
        </w:rPr>
        <w:t xml:space="preserve"> </w:t>
      </w:r>
      <w:r w:rsidR="00C13841">
        <w:rPr>
          <w:lang w:val="en-US"/>
        </w:rPr>
        <w:t>sağlam ve güvende kalabilmiş ve</w:t>
      </w:r>
      <w:r w:rsidR="00F654BE">
        <w:rPr>
          <w:lang w:val="en-US"/>
        </w:rPr>
        <w:t xml:space="preserve"> yüksek karlılıklarını, büyüme</w:t>
      </w:r>
      <w:r w:rsidR="00C13841">
        <w:rPr>
          <w:lang w:val="en-US"/>
        </w:rPr>
        <w:t>lerini ve güçlü sermaye yapılarını koruyabilmişlerdir</w:t>
      </w:r>
      <w:r w:rsidR="002069F9">
        <w:rPr>
          <w:lang w:val="en-US"/>
        </w:rPr>
        <w:t xml:space="preserve">. </w:t>
      </w:r>
      <w:proofErr w:type="gramStart"/>
      <w:r w:rsidR="002069F9">
        <w:rPr>
          <w:lang w:val="en-US"/>
        </w:rPr>
        <w:t xml:space="preserve">Türk bankacılık sektörü 2010’da %8.9 olan </w:t>
      </w:r>
      <w:r w:rsidR="00C13841">
        <w:rPr>
          <w:lang w:val="en-US"/>
        </w:rPr>
        <w:t>ulusal ekonomik büyümey</w:t>
      </w:r>
      <w:r w:rsidR="002069F9">
        <w:rPr>
          <w:lang w:val="en-US"/>
        </w:rPr>
        <w:t>e</w:t>
      </w:r>
      <w:r w:rsidR="00C13841">
        <w:rPr>
          <w:lang w:val="en-US"/>
        </w:rPr>
        <w:t xml:space="preserve"> para</w:t>
      </w:r>
      <w:r w:rsidR="002069F9">
        <w:rPr>
          <w:lang w:val="en-US"/>
        </w:rPr>
        <w:t xml:space="preserve">lel olarak </w:t>
      </w:r>
      <w:proofErr w:type="spellStart"/>
      <w:r w:rsidR="002069F9">
        <w:rPr>
          <w:lang w:val="en-US"/>
        </w:rPr>
        <w:t>önümüzdeki</w:t>
      </w:r>
      <w:proofErr w:type="spellEnd"/>
      <w:r w:rsidR="002069F9">
        <w:rPr>
          <w:lang w:val="en-US"/>
        </w:rPr>
        <w:t xml:space="preserve"> on </w:t>
      </w:r>
      <w:proofErr w:type="spellStart"/>
      <w:r w:rsidR="002069F9">
        <w:rPr>
          <w:lang w:val="en-US"/>
        </w:rPr>
        <w:t>yılda</w:t>
      </w:r>
      <w:proofErr w:type="spellEnd"/>
      <w:r w:rsidR="002069F9">
        <w:rPr>
          <w:lang w:val="en-US"/>
        </w:rPr>
        <w:t xml:space="preserve"> </w:t>
      </w:r>
      <w:proofErr w:type="spellStart"/>
      <w:r w:rsidR="000948E1">
        <w:rPr>
          <w:lang w:val="en-US"/>
        </w:rPr>
        <w:t>büyümeye</w:t>
      </w:r>
      <w:proofErr w:type="spellEnd"/>
      <w:r w:rsidR="000948E1">
        <w:rPr>
          <w:lang w:val="en-US"/>
        </w:rPr>
        <w:t xml:space="preserve"> </w:t>
      </w:r>
      <w:proofErr w:type="spellStart"/>
      <w:r w:rsidR="002069F9">
        <w:rPr>
          <w:lang w:val="en-US"/>
        </w:rPr>
        <w:t>devam</w:t>
      </w:r>
      <w:proofErr w:type="spellEnd"/>
      <w:r w:rsidR="002069F9">
        <w:rPr>
          <w:lang w:val="en-US"/>
        </w:rPr>
        <w:t xml:space="preserve"> </w:t>
      </w:r>
      <w:proofErr w:type="spellStart"/>
      <w:r w:rsidR="002069F9">
        <w:rPr>
          <w:lang w:val="en-US"/>
        </w:rPr>
        <w:t>edecek</w:t>
      </w:r>
      <w:proofErr w:type="spellEnd"/>
      <w:r w:rsidR="002069F9">
        <w:rPr>
          <w:lang w:val="en-US"/>
        </w:rPr>
        <w:t xml:space="preserve"> </w:t>
      </w:r>
      <w:proofErr w:type="spellStart"/>
      <w:r w:rsidR="000948E1">
        <w:rPr>
          <w:lang w:val="en-US"/>
        </w:rPr>
        <w:t>gibi</w:t>
      </w:r>
      <w:proofErr w:type="spellEnd"/>
      <w:r w:rsidR="000948E1">
        <w:rPr>
          <w:lang w:val="en-US"/>
        </w:rPr>
        <w:t xml:space="preserve"> </w:t>
      </w:r>
      <w:r w:rsidR="002069F9">
        <w:rPr>
          <w:lang w:val="en-US"/>
        </w:rPr>
        <w:t>görünmektedir.</w:t>
      </w:r>
      <w:proofErr w:type="gramEnd"/>
    </w:p>
    <w:p w:rsidR="002069F9" w:rsidRDefault="00203302" w:rsidP="00203302">
      <w:pPr>
        <w:tabs>
          <w:tab w:val="left" w:pos="4440"/>
          <w:tab w:val="left" w:pos="5475"/>
        </w:tabs>
        <w:spacing w:after="0"/>
        <w:jc w:val="both"/>
        <w:rPr>
          <w:lang w:val="en-US"/>
        </w:rPr>
      </w:pPr>
      <w:r>
        <w:rPr>
          <w:lang w:val="en-US"/>
        </w:rPr>
        <w:tab/>
      </w:r>
    </w:p>
    <w:p w:rsidR="002069F9" w:rsidRPr="00F6631D" w:rsidRDefault="000948E1" w:rsidP="00436E63">
      <w:pPr>
        <w:spacing w:after="0"/>
        <w:jc w:val="both"/>
        <w:rPr>
          <w:lang w:val="en-US"/>
        </w:rPr>
      </w:pPr>
      <w:proofErr w:type="gramStart"/>
      <w:r>
        <w:rPr>
          <w:lang w:val="en-US"/>
        </w:rPr>
        <w:t xml:space="preserve">Bu </w:t>
      </w:r>
      <w:proofErr w:type="spellStart"/>
      <w:r w:rsidR="002069F9">
        <w:rPr>
          <w:lang w:val="en-US"/>
        </w:rPr>
        <w:t>makale</w:t>
      </w:r>
      <w:proofErr w:type="spellEnd"/>
      <w:r w:rsidR="002069F9">
        <w:rPr>
          <w:lang w:val="en-US"/>
        </w:rPr>
        <w:t xml:space="preserve"> </w:t>
      </w:r>
      <w:proofErr w:type="spellStart"/>
      <w:r w:rsidR="002069F9">
        <w:rPr>
          <w:lang w:val="en-US"/>
        </w:rPr>
        <w:t>genel</w:t>
      </w:r>
      <w:proofErr w:type="spellEnd"/>
      <w:r w:rsidR="002069F9">
        <w:rPr>
          <w:lang w:val="en-US"/>
        </w:rPr>
        <w:t xml:space="preserve"> </w:t>
      </w:r>
      <w:proofErr w:type="spellStart"/>
      <w:r w:rsidR="002069F9">
        <w:rPr>
          <w:lang w:val="en-US"/>
        </w:rPr>
        <w:t>hatlarıyla</w:t>
      </w:r>
      <w:proofErr w:type="spellEnd"/>
      <w:r w:rsidR="002069F9">
        <w:rPr>
          <w:lang w:val="en-US"/>
        </w:rPr>
        <w:t xml:space="preserve"> Türk bankacılık sektörünün ve katılım bankalarının geçtiğimiz yıllardaki (2002-2010) performansını ve </w:t>
      </w:r>
      <w:r w:rsidR="00C13841">
        <w:rPr>
          <w:lang w:val="en-US"/>
        </w:rPr>
        <w:t xml:space="preserve">gelecek on yıldaki </w:t>
      </w:r>
      <w:r w:rsidR="002069F9">
        <w:rPr>
          <w:lang w:val="en-US"/>
        </w:rPr>
        <w:t>beklentileri ele almaktadır.</w:t>
      </w:r>
      <w:proofErr w:type="gramEnd"/>
      <w:r w:rsidR="002069F9">
        <w:rPr>
          <w:lang w:val="en-US"/>
        </w:rPr>
        <w:t xml:space="preserve"> Bununla ber</w:t>
      </w:r>
      <w:r w:rsidR="00F654BE">
        <w:rPr>
          <w:lang w:val="en-US"/>
        </w:rPr>
        <w:t>ab</w:t>
      </w:r>
      <w:r w:rsidR="002069F9">
        <w:rPr>
          <w:lang w:val="en-US"/>
        </w:rPr>
        <w:t>er temelde katılım bankalarının büyüme potansiyelleri üzerine varsayımlarda bulunarak önümüzdeki dönemde pastada daha fazla pay</w:t>
      </w:r>
      <w:r w:rsidR="00C13841">
        <w:rPr>
          <w:lang w:val="en-US"/>
        </w:rPr>
        <w:t>a sahip olabilmeler</w:t>
      </w:r>
      <w:r w:rsidR="002069F9">
        <w:rPr>
          <w:lang w:val="en-US"/>
        </w:rPr>
        <w:t>i için neler yapılması gerektiğini tartışmaktadır.</w:t>
      </w:r>
    </w:p>
    <w:p w:rsidR="00436E63" w:rsidRPr="00F6631D" w:rsidRDefault="00436E63" w:rsidP="00436E63">
      <w:pPr>
        <w:spacing w:after="0"/>
        <w:jc w:val="both"/>
        <w:rPr>
          <w:lang w:val="en-US"/>
        </w:rPr>
      </w:pPr>
    </w:p>
    <w:p w:rsidR="002069F9" w:rsidRDefault="002069F9" w:rsidP="00436E63">
      <w:pPr>
        <w:spacing w:after="0"/>
        <w:jc w:val="both"/>
        <w:rPr>
          <w:b/>
          <w:sz w:val="24"/>
          <w:szCs w:val="24"/>
          <w:lang w:val="en-US"/>
        </w:rPr>
      </w:pPr>
      <w:r>
        <w:rPr>
          <w:b/>
          <w:sz w:val="24"/>
          <w:szCs w:val="24"/>
          <w:lang w:val="en-US"/>
        </w:rPr>
        <w:t>TÜRK BANKACILIK SEKTÖRÜ</w:t>
      </w:r>
    </w:p>
    <w:p w:rsidR="002069F9" w:rsidRDefault="002069F9" w:rsidP="00436E63">
      <w:pPr>
        <w:spacing w:after="0"/>
        <w:jc w:val="both"/>
        <w:rPr>
          <w:b/>
          <w:sz w:val="24"/>
          <w:szCs w:val="24"/>
          <w:lang w:val="en-US"/>
        </w:rPr>
      </w:pPr>
    </w:p>
    <w:p w:rsidR="002069F9" w:rsidRPr="00F654BE" w:rsidRDefault="00A40C5D" w:rsidP="00436E63">
      <w:pPr>
        <w:spacing w:after="0"/>
        <w:jc w:val="both"/>
        <w:rPr>
          <w:sz w:val="24"/>
          <w:szCs w:val="24"/>
          <w:lang w:val="en-US"/>
        </w:rPr>
      </w:pPr>
      <w:r w:rsidRPr="00F654BE">
        <w:rPr>
          <w:sz w:val="24"/>
          <w:szCs w:val="24"/>
          <w:lang w:val="en-US"/>
        </w:rPr>
        <w:t xml:space="preserve">Türk bankaları 2001’deki bozulmuş bilançolarını düzelttikten hemen sonra geçtiğimiz birkaç yıl boyunca verdikleri kredileri önemli ölçüde artırdılar. </w:t>
      </w:r>
      <w:r w:rsidR="00C13841" w:rsidRPr="00F654BE">
        <w:rPr>
          <w:sz w:val="24"/>
          <w:szCs w:val="24"/>
          <w:lang w:val="en-US"/>
        </w:rPr>
        <w:t>Ban</w:t>
      </w:r>
      <w:r w:rsidR="00036E68" w:rsidRPr="00F654BE">
        <w:rPr>
          <w:sz w:val="24"/>
          <w:szCs w:val="24"/>
          <w:lang w:val="en-US"/>
        </w:rPr>
        <w:t>k</w:t>
      </w:r>
      <w:r w:rsidR="00C13841" w:rsidRPr="00F654BE">
        <w:rPr>
          <w:sz w:val="24"/>
          <w:szCs w:val="24"/>
          <w:lang w:val="en-US"/>
        </w:rPr>
        <w:t>a</w:t>
      </w:r>
      <w:r w:rsidR="00036E68" w:rsidRPr="00F654BE">
        <w:rPr>
          <w:sz w:val="24"/>
          <w:szCs w:val="24"/>
          <w:lang w:val="en-US"/>
        </w:rPr>
        <w:t xml:space="preserve"> kredi portföyünün çoğu ticari segmentten gelmekle beraber bankacılık hizmetlerinin bireysel segme</w:t>
      </w:r>
      <w:r w:rsidR="00C13841" w:rsidRPr="00F654BE">
        <w:rPr>
          <w:sz w:val="24"/>
          <w:szCs w:val="24"/>
          <w:lang w:val="en-US"/>
        </w:rPr>
        <w:t>nte hızlı gir</w:t>
      </w:r>
      <w:r w:rsidR="00F654BE">
        <w:rPr>
          <w:sz w:val="24"/>
          <w:szCs w:val="24"/>
          <w:lang w:val="en-US"/>
        </w:rPr>
        <w:t>i</w:t>
      </w:r>
      <w:r w:rsidR="00C13841" w:rsidRPr="00F654BE">
        <w:rPr>
          <w:sz w:val="24"/>
          <w:szCs w:val="24"/>
          <w:lang w:val="en-US"/>
        </w:rPr>
        <w:t>şi ile beraber birey</w:t>
      </w:r>
      <w:r w:rsidR="00036E68" w:rsidRPr="00F654BE">
        <w:rPr>
          <w:sz w:val="24"/>
          <w:szCs w:val="24"/>
          <w:lang w:val="en-US"/>
        </w:rPr>
        <w:t>sel krediler de kredi artı</w:t>
      </w:r>
      <w:r w:rsidR="00C13841" w:rsidRPr="00F654BE">
        <w:rPr>
          <w:sz w:val="24"/>
          <w:szCs w:val="24"/>
          <w:lang w:val="en-US"/>
        </w:rPr>
        <w:t>şına önemli bir katkı sağladı. K</w:t>
      </w:r>
      <w:r w:rsidR="00036E68" w:rsidRPr="00F654BE">
        <w:rPr>
          <w:sz w:val="24"/>
          <w:szCs w:val="24"/>
          <w:lang w:val="en-US"/>
        </w:rPr>
        <w:t>redilerdeki bu genişlemenin yanı sıra Türk bankaları bu dönemde bilançolarındaki mevduat k</w:t>
      </w:r>
      <w:r w:rsidR="000948E1">
        <w:rPr>
          <w:sz w:val="24"/>
          <w:szCs w:val="24"/>
          <w:lang w:val="en-US"/>
        </w:rPr>
        <w:t xml:space="preserve">alemlerinde </w:t>
      </w:r>
      <w:proofErr w:type="gramStart"/>
      <w:r w:rsidR="000948E1">
        <w:rPr>
          <w:sz w:val="24"/>
          <w:szCs w:val="24"/>
          <w:lang w:val="en-US"/>
        </w:rPr>
        <w:t xml:space="preserve">de </w:t>
      </w:r>
      <w:r w:rsidR="00036E68" w:rsidRPr="00F654BE">
        <w:rPr>
          <w:sz w:val="24"/>
          <w:szCs w:val="24"/>
          <w:lang w:val="en-US"/>
        </w:rPr>
        <w:t xml:space="preserve"> ciddi</w:t>
      </w:r>
      <w:proofErr w:type="gramEnd"/>
      <w:r w:rsidR="00036E68" w:rsidRPr="00F654BE">
        <w:rPr>
          <w:sz w:val="24"/>
          <w:szCs w:val="24"/>
          <w:lang w:val="en-US"/>
        </w:rPr>
        <w:t xml:space="preserve"> büyüme yaşadılar.</w:t>
      </w:r>
    </w:p>
    <w:p w:rsidR="00036E68" w:rsidRDefault="00036E68" w:rsidP="00436E63">
      <w:pPr>
        <w:spacing w:after="0"/>
        <w:jc w:val="both"/>
        <w:rPr>
          <w:lang w:val="en-US"/>
        </w:rPr>
      </w:pPr>
    </w:p>
    <w:p w:rsidR="00036E68" w:rsidRDefault="00C13841" w:rsidP="00436E63">
      <w:pPr>
        <w:spacing w:after="0"/>
        <w:jc w:val="both"/>
        <w:rPr>
          <w:lang w:val="en-US"/>
        </w:rPr>
      </w:pPr>
      <w:proofErr w:type="spellStart"/>
      <w:proofErr w:type="gramStart"/>
      <w:r>
        <w:rPr>
          <w:lang w:val="en-US"/>
        </w:rPr>
        <w:t>Ge</w:t>
      </w:r>
      <w:r w:rsidR="00036E68">
        <w:rPr>
          <w:lang w:val="en-US"/>
        </w:rPr>
        <w:t>çtiğimiz</w:t>
      </w:r>
      <w:proofErr w:type="spellEnd"/>
      <w:r w:rsidR="00036E68">
        <w:rPr>
          <w:lang w:val="en-US"/>
        </w:rPr>
        <w:t xml:space="preserve"> </w:t>
      </w:r>
      <w:proofErr w:type="spellStart"/>
      <w:r w:rsidR="00036E68">
        <w:rPr>
          <w:lang w:val="en-US"/>
        </w:rPr>
        <w:t>yıllarda</w:t>
      </w:r>
      <w:proofErr w:type="spellEnd"/>
      <w:r w:rsidR="00036E68">
        <w:rPr>
          <w:lang w:val="en-US"/>
        </w:rPr>
        <w:t xml:space="preserve"> </w:t>
      </w:r>
      <w:proofErr w:type="spellStart"/>
      <w:r w:rsidR="00036E68">
        <w:rPr>
          <w:lang w:val="en-US"/>
        </w:rPr>
        <w:t>aktiflerde</w:t>
      </w:r>
      <w:proofErr w:type="spellEnd"/>
      <w:r w:rsidR="000948E1">
        <w:rPr>
          <w:lang w:val="en-US"/>
        </w:rPr>
        <w:t>,</w:t>
      </w:r>
      <w:r w:rsidR="00036E68">
        <w:rPr>
          <w:lang w:val="en-US"/>
        </w:rPr>
        <w:t xml:space="preserve"> </w:t>
      </w:r>
      <w:proofErr w:type="spellStart"/>
      <w:r w:rsidR="00036E68">
        <w:rPr>
          <w:lang w:val="en-US"/>
        </w:rPr>
        <w:t>kredi</w:t>
      </w:r>
      <w:proofErr w:type="spellEnd"/>
      <w:r w:rsidR="00F654BE">
        <w:rPr>
          <w:lang w:val="en-US"/>
        </w:rPr>
        <w:t xml:space="preserve"> </w:t>
      </w:r>
      <w:proofErr w:type="spellStart"/>
      <w:r w:rsidR="00F654BE">
        <w:rPr>
          <w:lang w:val="en-US"/>
        </w:rPr>
        <w:t>ve</w:t>
      </w:r>
      <w:proofErr w:type="spellEnd"/>
      <w:r w:rsidR="00F654BE">
        <w:rPr>
          <w:lang w:val="en-US"/>
        </w:rPr>
        <w:t xml:space="preserve"> </w:t>
      </w:r>
      <w:proofErr w:type="spellStart"/>
      <w:r w:rsidR="00F654BE">
        <w:rPr>
          <w:lang w:val="en-US"/>
        </w:rPr>
        <w:t>mevduat</w:t>
      </w:r>
      <w:proofErr w:type="spellEnd"/>
      <w:r w:rsidR="00F654BE">
        <w:rPr>
          <w:lang w:val="en-US"/>
        </w:rPr>
        <w:t xml:space="preserve"> </w:t>
      </w:r>
      <w:proofErr w:type="spellStart"/>
      <w:r w:rsidR="000948E1">
        <w:rPr>
          <w:lang w:val="en-US"/>
        </w:rPr>
        <w:t>hacimlerindeki</w:t>
      </w:r>
      <w:proofErr w:type="spellEnd"/>
      <w:r w:rsidR="00F654BE">
        <w:rPr>
          <w:lang w:val="en-US"/>
        </w:rPr>
        <w:t xml:space="preserve"> </w:t>
      </w:r>
      <w:proofErr w:type="spellStart"/>
      <w:r w:rsidR="00F654BE">
        <w:rPr>
          <w:lang w:val="en-US"/>
        </w:rPr>
        <w:t>artış</w:t>
      </w:r>
      <w:proofErr w:type="spellEnd"/>
      <w:r w:rsidR="00F654BE">
        <w:rPr>
          <w:lang w:val="en-US"/>
        </w:rPr>
        <w:t xml:space="preserve">, </w:t>
      </w:r>
      <w:proofErr w:type="spellStart"/>
      <w:r w:rsidR="00F654BE">
        <w:rPr>
          <w:lang w:val="en-US"/>
        </w:rPr>
        <w:t>s</w:t>
      </w:r>
      <w:r w:rsidR="00036E68">
        <w:rPr>
          <w:lang w:val="en-US"/>
        </w:rPr>
        <w:t>ermaye</w:t>
      </w:r>
      <w:proofErr w:type="spellEnd"/>
      <w:r w:rsidR="00036E68">
        <w:rPr>
          <w:lang w:val="en-US"/>
        </w:rPr>
        <w:t xml:space="preserve"> </w:t>
      </w:r>
      <w:proofErr w:type="spellStart"/>
      <w:r w:rsidR="00036E68">
        <w:rPr>
          <w:lang w:val="en-US"/>
        </w:rPr>
        <w:t>yeterlilik</w:t>
      </w:r>
      <w:proofErr w:type="spellEnd"/>
      <w:r w:rsidR="00036E68">
        <w:rPr>
          <w:lang w:val="en-US"/>
        </w:rPr>
        <w:t xml:space="preserve"> oranı, </w:t>
      </w:r>
      <w:r>
        <w:rPr>
          <w:lang w:val="en-US"/>
        </w:rPr>
        <w:t>sorunlu krediler</w:t>
      </w:r>
      <w:r w:rsidR="00036E68">
        <w:rPr>
          <w:lang w:val="en-US"/>
        </w:rPr>
        <w:t xml:space="preserve">, </w:t>
      </w:r>
      <w:r>
        <w:rPr>
          <w:lang w:val="en-US"/>
        </w:rPr>
        <w:t>özkaynak karlılığı ve aktif karlılığı</w:t>
      </w:r>
      <w:r w:rsidR="00036E68">
        <w:rPr>
          <w:lang w:val="en-US"/>
        </w:rPr>
        <w:t xml:space="preserve"> gibi öneml</w:t>
      </w:r>
      <w:r>
        <w:rPr>
          <w:lang w:val="en-US"/>
        </w:rPr>
        <w:t>i göstergeler belirgin şekilde iyileşti</w:t>
      </w:r>
      <w:r w:rsidR="00036E68">
        <w:rPr>
          <w:lang w:val="en-US"/>
        </w:rPr>
        <w:t>.</w:t>
      </w:r>
      <w:proofErr w:type="gramEnd"/>
      <w:r w:rsidR="00036E68">
        <w:rPr>
          <w:lang w:val="en-US"/>
        </w:rPr>
        <w:t xml:space="preserve"> 2</w:t>
      </w:r>
      <w:r>
        <w:rPr>
          <w:lang w:val="en-US"/>
        </w:rPr>
        <w:t>002 ve 2010 yılları arasında sektö</w:t>
      </w:r>
      <w:r w:rsidR="00036E68">
        <w:rPr>
          <w:lang w:val="en-US"/>
        </w:rPr>
        <w:t xml:space="preserve">r aktifler, krediler ve mevduatlarda sırasıyla %19, %25 ve %19 </w:t>
      </w:r>
      <w:r w:rsidR="005B7DBB">
        <w:rPr>
          <w:lang w:val="en-US"/>
        </w:rPr>
        <w:t>yıllık bileşik büyüme oranları</w:t>
      </w:r>
      <w:r>
        <w:rPr>
          <w:lang w:val="en-US"/>
        </w:rPr>
        <w:t>nı</w:t>
      </w:r>
      <w:r w:rsidR="00036E68">
        <w:rPr>
          <w:lang w:val="en-US"/>
        </w:rPr>
        <w:t xml:space="preserve"> </w:t>
      </w:r>
      <w:r>
        <w:rPr>
          <w:lang w:val="en-US"/>
        </w:rPr>
        <w:t>yakaladı. 2003 yılında %31 s</w:t>
      </w:r>
      <w:r w:rsidR="00036E68">
        <w:rPr>
          <w:lang w:val="en-US"/>
        </w:rPr>
        <w:t xml:space="preserve">ermaye yeterlilik oranıyla zirveye ulaşarak aynı dönem için sıradışı bir </w:t>
      </w:r>
      <w:r w:rsidR="005B7DBB">
        <w:rPr>
          <w:lang w:val="en-US"/>
        </w:rPr>
        <w:t>kapitalizasyon</w:t>
      </w:r>
      <w:r w:rsidR="00036E68">
        <w:rPr>
          <w:lang w:val="en-US"/>
        </w:rPr>
        <w:t xml:space="preserve"> elde etti. </w:t>
      </w:r>
      <w:r w:rsidR="001723B2">
        <w:rPr>
          <w:lang w:val="en-US"/>
        </w:rPr>
        <w:t xml:space="preserve">2010’da ise bu rasyo nispeten yüksek bir oran olan %19 seviyesinde kaldı. Öte yandan, 2003’te %11.5 olan </w:t>
      </w:r>
      <w:r w:rsidR="005B7DBB">
        <w:rPr>
          <w:lang w:val="en-US"/>
        </w:rPr>
        <w:t>sorunlu krediler oranı çarpıcı</w:t>
      </w:r>
      <w:r w:rsidR="001723B2">
        <w:rPr>
          <w:lang w:val="en-US"/>
        </w:rPr>
        <w:t xml:space="preserve"> bir şekilde 2010’da %3.7’ye düştü. </w:t>
      </w:r>
      <w:r w:rsidR="005B7DBB">
        <w:rPr>
          <w:lang w:val="en-US"/>
        </w:rPr>
        <w:t>Ortalama aktif karlılığı</w:t>
      </w:r>
      <w:r w:rsidR="001723B2">
        <w:rPr>
          <w:lang w:val="en-US"/>
        </w:rPr>
        <w:t xml:space="preserve"> 2004 ve 2010 yılları arasında %3 civarında seyrederken </w:t>
      </w:r>
      <w:r w:rsidR="005B7DBB">
        <w:rPr>
          <w:lang w:val="en-US"/>
        </w:rPr>
        <w:t>ortalama özkaynak karlılığı</w:t>
      </w:r>
      <w:r w:rsidR="001723B2">
        <w:rPr>
          <w:lang w:val="en-US"/>
        </w:rPr>
        <w:t xml:space="preserve"> aynı dönemde %15.8’ten %20.1’e yükseldi.</w:t>
      </w:r>
    </w:p>
    <w:p w:rsidR="001723B2" w:rsidRDefault="001723B2" w:rsidP="00436E63">
      <w:pPr>
        <w:jc w:val="both"/>
        <w:rPr>
          <w:lang w:val="en-US"/>
        </w:rPr>
      </w:pPr>
    </w:p>
    <w:p w:rsidR="001723B2" w:rsidRDefault="001723B2" w:rsidP="00436E63">
      <w:pPr>
        <w:jc w:val="both"/>
        <w:rPr>
          <w:lang w:val="en-US"/>
        </w:rPr>
      </w:pPr>
      <w:r>
        <w:rPr>
          <w:lang w:val="en-US"/>
        </w:rPr>
        <w:t>Geç</w:t>
      </w:r>
      <w:r w:rsidR="005B7DBB">
        <w:rPr>
          <w:lang w:val="en-US"/>
        </w:rPr>
        <w:t>tiğimiz on yıl Türk bankaları i</w:t>
      </w:r>
      <w:r>
        <w:rPr>
          <w:lang w:val="en-US"/>
        </w:rPr>
        <w:t xml:space="preserve">çin bir dönüşüm ve hızlı büyüme dönemi iken </w:t>
      </w:r>
      <w:r w:rsidR="005B7DBB">
        <w:rPr>
          <w:lang w:val="en-US"/>
        </w:rPr>
        <w:t>gelecek</w:t>
      </w:r>
      <w:r>
        <w:rPr>
          <w:lang w:val="en-US"/>
        </w:rPr>
        <w:t xml:space="preserve"> on yılın olgunlaşma ve </w:t>
      </w:r>
      <w:r w:rsidR="00F654BE">
        <w:rPr>
          <w:lang w:val="en-US"/>
        </w:rPr>
        <w:t>yerleşme</w:t>
      </w:r>
      <w:r>
        <w:rPr>
          <w:lang w:val="en-US"/>
        </w:rPr>
        <w:t xml:space="preserve"> dönemi olması beklenmektedir. 75 milyonluk ül</w:t>
      </w:r>
      <w:r w:rsidR="00F144F3">
        <w:rPr>
          <w:lang w:val="en-US"/>
        </w:rPr>
        <w:t>ke nüfusunu, demografik yapıyı</w:t>
      </w:r>
      <w:r>
        <w:rPr>
          <w:lang w:val="en-US"/>
        </w:rPr>
        <w:t>, ulus</w:t>
      </w:r>
      <w:r w:rsidR="00F144F3">
        <w:rPr>
          <w:lang w:val="en-US"/>
        </w:rPr>
        <w:t>a</w:t>
      </w:r>
      <w:r>
        <w:rPr>
          <w:lang w:val="en-US"/>
        </w:rPr>
        <w:t xml:space="preserve">l ekonomideki olumlu gidişatı, </w:t>
      </w:r>
      <w:proofErr w:type="gramStart"/>
      <w:r w:rsidR="00F144F3">
        <w:rPr>
          <w:lang w:val="en-US"/>
        </w:rPr>
        <w:t>kişi</w:t>
      </w:r>
      <w:proofErr w:type="gramEnd"/>
      <w:r w:rsidR="00F144F3">
        <w:rPr>
          <w:lang w:val="en-US"/>
        </w:rPr>
        <w:t xml:space="preserve"> başına mevduat</w:t>
      </w:r>
      <w:r>
        <w:rPr>
          <w:lang w:val="en-US"/>
        </w:rPr>
        <w:t xml:space="preserve"> ve kredi rakamlarını g</w:t>
      </w:r>
      <w:r w:rsidR="00F144F3">
        <w:rPr>
          <w:lang w:val="en-US"/>
        </w:rPr>
        <w:t>öz önünde bulundurduğumuzda ban</w:t>
      </w:r>
      <w:r>
        <w:rPr>
          <w:lang w:val="en-US"/>
        </w:rPr>
        <w:t xml:space="preserve">kacılık sektörünün </w:t>
      </w:r>
      <w:proofErr w:type="spellStart"/>
      <w:r>
        <w:rPr>
          <w:lang w:val="en-US"/>
        </w:rPr>
        <w:t>gideceği</w:t>
      </w:r>
      <w:proofErr w:type="spellEnd"/>
      <w:r>
        <w:rPr>
          <w:lang w:val="en-US"/>
        </w:rPr>
        <w:t xml:space="preserve"> </w:t>
      </w:r>
      <w:proofErr w:type="spellStart"/>
      <w:r>
        <w:rPr>
          <w:lang w:val="en-US"/>
        </w:rPr>
        <w:t>daha</w:t>
      </w:r>
      <w:proofErr w:type="spellEnd"/>
      <w:r>
        <w:rPr>
          <w:lang w:val="en-US"/>
        </w:rPr>
        <w:t xml:space="preserve"> </w:t>
      </w:r>
      <w:proofErr w:type="spellStart"/>
      <w:r>
        <w:rPr>
          <w:lang w:val="en-US"/>
        </w:rPr>
        <w:t>çok</w:t>
      </w:r>
      <w:proofErr w:type="spellEnd"/>
      <w:r w:rsidR="00512EC0">
        <w:rPr>
          <w:lang w:val="en-US"/>
        </w:rPr>
        <w:t xml:space="preserve"> </w:t>
      </w:r>
      <w:proofErr w:type="spellStart"/>
      <w:r w:rsidR="00512EC0">
        <w:rPr>
          <w:lang w:val="en-US"/>
        </w:rPr>
        <w:t>yolun</w:t>
      </w:r>
      <w:proofErr w:type="spellEnd"/>
      <w:r>
        <w:rPr>
          <w:lang w:val="en-US"/>
        </w:rPr>
        <w:t xml:space="preserve"> </w:t>
      </w:r>
      <w:proofErr w:type="spellStart"/>
      <w:r>
        <w:rPr>
          <w:lang w:val="en-US"/>
        </w:rPr>
        <w:t>olduğu</w:t>
      </w:r>
      <w:proofErr w:type="spellEnd"/>
      <w:r>
        <w:rPr>
          <w:lang w:val="en-US"/>
        </w:rPr>
        <w:t xml:space="preserve"> </w:t>
      </w:r>
      <w:proofErr w:type="spellStart"/>
      <w:r>
        <w:rPr>
          <w:lang w:val="en-US"/>
        </w:rPr>
        <w:t>söylenebilir</w:t>
      </w:r>
      <w:proofErr w:type="spellEnd"/>
      <w:r>
        <w:rPr>
          <w:lang w:val="en-US"/>
        </w:rPr>
        <w:t>.</w:t>
      </w:r>
    </w:p>
    <w:p w:rsidR="001723B2" w:rsidRDefault="001723B2" w:rsidP="00436E63">
      <w:pPr>
        <w:jc w:val="both"/>
        <w:rPr>
          <w:lang w:val="en-US"/>
        </w:rPr>
      </w:pPr>
    </w:p>
    <w:p w:rsidR="00C6623C" w:rsidRDefault="001723B2" w:rsidP="00436E63">
      <w:pPr>
        <w:jc w:val="both"/>
        <w:rPr>
          <w:lang w:val="en-US"/>
        </w:rPr>
      </w:pPr>
      <w:r>
        <w:rPr>
          <w:lang w:val="en-US"/>
        </w:rPr>
        <w:lastRenderedPageBreak/>
        <w:t xml:space="preserve">Diğer taraftan, </w:t>
      </w:r>
      <w:r w:rsidR="00F144F3">
        <w:rPr>
          <w:lang w:val="en-US"/>
        </w:rPr>
        <w:t xml:space="preserve">Türk bankalarının </w:t>
      </w:r>
      <w:r w:rsidR="004230FB">
        <w:rPr>
          <w:lang w:val="en-US"/>
        </w:rPr>
        <w:t>önümüzdeki birkaç yıl içinde kredi ve mevduatlarını artırmaları geçtiğimiz on yıldaki kadar kolay olmayacaktır, zira Merkez Bankası fiyat ve finansal istikrara karşı riskleri içeren bir takım önlemler almakta ve bu bağlamda mevduatlar için reze</w:t>
      </w:r>
      <w:r w:rsidR="00F144F3">
        <w:rPr>
          <w:lang w:val="en-US"/>
        </w:rPr>
        <w:t>rv gerekliliklerini artırıp ban</w:t>
      </w:r>
      <w:r w:rsidR="004230FB">
        <w:rPr>
          <w:lang w:val="en-US"/>
        </w:rPr>
        <w:t>k</w:t>
      </w:r>
      <w:r w:rsidR="00F144F3">
        <w:rPr>
          <w:lang w:val="en-US"/>
        </w:rPr>
        <w:t>a</w:t>
      </w:r>
      <w:r w:rsidR="004230FB">
        <w:rPr>
          <w:lang w:val="en-US"/>
        </w:rPr>
        <w:t>cılık sektörü için yıllık kredi büyümesine b</w:t>
      </w:r>
      <w:r w:rsidR="00F144F3">
        <w:rPr>
          <w:lang w:val="en-US"/>
        </w:rPr>
        <w:t>elli bir limit (%25) getirmektedir</w:t>
      </w:r>
      <w:r w:rsidR="004230FB">
        <w:rPr>
          <w:lang w:val="en-US"/>
        </w:rPr>
        <w:t xml:space="preserve">. </w:t>
      </w:r>
      <w:r w:rsidR="00B71984">
        <w:rPr>
          <w:lang w:val="en-US"/>
        </w:rPr>
        <w:t xml:space="preserve">Bu kısıtlamalara bağlı olarak </w:t>
      </w:r>
      <w:r w:rsidR="00C6623C">
        <w:rPr>
          <w:lang w:val="en-US"/>
        </w:rPr>
        <w:t xml:space="preserve">maliyet etkinliğine ulaşmak ve daha fazla hizmet </w:t>
      </w:r>
      <w:r w:rsidR="00F144F3">
        <w:rPr>
          <w:lang w:val="en-US"/>
        </w:rPr>
        <w:t>bedeli</w:t>
      </w:r>
      <w:r w:rsidR="00C6623C">
        <w:rPr>
          <w:lang w:val="en-US"/>
        </w:rPr>
        <w:t xml:space="preserve"> ve komisyon alabilmek için </w:t>
      </w:r>
      <w:r w:rsidR="00B71984">
        <w:rPr>
          <w:lang w:val="en-US"/>
        </w:rPr>
        <w:t xml:space="preserve">bankaların </w:t>
      </w:r>
      <w:r w:rsidR="00C6623C">
        <w:rPr>
          <w:lang w:val="en-US"/>
        </w:rPr>
        <w:t>daha ziyade, özellikle bireysel ve KOBİ segme</w:t>
      </w:r>
      <w:r w:rsidR="00F144F3">
        <w:rPr>
          <w:lang w:val="en-US"/>
        </w:rPr>
        <w:t>n</w:t>
      </w:r>
      <w:r w:rsidR="00C6623C">
        <w:rPr>
          <w:lang w:val="en-US"/>
        </w:rPr>
        <w:t xml:space="preserve">tlerinde müşteri sadakatine yoğunlaşmaları ve internet bankacılığı, telefon bankacılıığı, ATM bankacılığı gibi nispeten düşük maliyetli hizmetlere odaklanmaları beklenmektedir.  </w:t>
      </w:r>
    </w:p>
    <w:p w:rsidR="00FE172B" w:rsidRPr="00F6631D" w:rsidRDefault="00FE172B" w:rsidP="00436E63">
      <w:pPr>
        <w:jc w:val="both"/>
        <w:rPr>
          <w:lang w:val="en-US"/>
        </w:rPr>
      </w:pPr>
      <w:r>
        <w:rPr>
          <w:lang w:val="en-US"/>
        </w:rPr>
        <w:t>Kanaatime göre, öngörülebilir gelecekte Türk bankacılık sektörünün sürdürülebilir büyümesi için</w:t>
      </w:r>
      <w:r w:rsidR="00F144F3">
        <w:rPr>
          <w:lang w:val="en-US"/>
        </w:rPr>
        <w:t xml:space="preserve"> anahtar faktörler şunlar olacaktır</w:t>
      </w:r>
      <w:r>
        <w:rPr>
          <w:lang w:val="en-US"/>
        </w:rPr>
        <w:t>:</w:t>
      </w:r>
    </w:p>
    <w:p w:rsidR="00FE172B" w:rsidRDefault="00FE172B" w:rsidP="00436E63">
      <w:pPr>
        <w:pStyle w:val="ListParagraph"/>
        <w:numPr>
          <w:ilvl w:val="0"/>
          <w:numId w:val="2"/>
        </w:numPr>
        <w:tabs>
          <w:tab w:val="left" w:pos="567"/>
        </w:tabs>
        <w:ind w:left="567" w:hanging="567"/>
        <w:jc w:val="both"/>
        <w:rPr>
          <w:lang w:val="en-US"/>
        </w:rPr>
      </w:pPr>
      <w:r>
        <w:rPr>
          <w:lang w:val="en-US"/>
        </w:rPr>
        <w:t xml:space="preserve">2010’da </w:t>
      </w:r>
      <w:r w:rsidR="00CA6CD6">
        <w:rPr>
          <w:lang w:val="en-US"/>
        </w:rPr>
        <w:t>ul</w:t>
      </w:r>
      <w:r w:rsidR="00F144F3">
        <w:rPr>
          <w:lang w:val="en-US"/>
        </w:rPr>
        <w:t xml:space="preserve">usal ekonominin iyi gidişatı, </w:t>
      </w:r>
      <w:r w:rsidR="00CA6CD6">
        <w:rPr>
          <w:lang w:val="en-US"/>
        </w:rPr>
        <w:t xml:space="preserve">bütçe realizasyonu ve </w:t>
      </w:r>
      <w:r w:rsidR="00F144F3">
        <w:rPr>
          <w:lang w:val="en-US"/>
        </w:rPr>
        <w:t xml:space="preserve">bu </w:t>
      </w:r>
      <w:r w:rsidR="00E94D11">
        <w:rPr>
          <w:lang w:val="en-US"/>
        </w:rPr>
        <w:t>yılki</w:t>
      </w:r>
      <w:r w:rsidR="00F144F3">
        <w:rPr>
          <w:lang w:val="en-US"/>
        </w:rPr>
        <w:t xml:space="preserve"> benzer </w:t>
      </w:r>
      <w:r w:rsidR="00CA6CD6">
        <w:rPr>
          <w:lang w:val="en-US"/>
        </w:rPr>
        <w:t>g</w:t>
      </w:r>
      <w:r w:rsidR="00F144F3">
        <w:rPr>
          <w:lang w:val="en-US"/>
        </w:rPr>
        <w:t>elişmelere bağlı o</w:t>
      </w:r>
      <w:r w:rsidR="00CA6CD6">
        <w:rPr>
          <w:lang w:val="en-US"/>
        </w:rPr>
        <w:t>l</w:t>
      </w:r>
      <w:r w:rsidR="00F144F3">
        <w:rPr>
          <w:lang w:val="en-US"/>
        </w:rPr>
        <w:t>a</w:t>
      </w:r>
      <w:r w:rsidR="00CA6CD6">
        <w:rPr>
          <w:lang w:val="en-US"/>
        </w:rPr>
        <w:t>rak pek çok a</w:t>
      </w:r>
      <w:r w:rsidR="00F144F3">
        <w:rPr>
          <w:lang w:val="en-US"/>
        </w:rPr>
        <w:t xml:space="preserve">nalist ve piyasa </w:t>
      </w:r>
      <w:r w:rsidR="00F654BE">
        <w:rPr>
          <w:lang w:val="en-US"/>
        </w:rPr>
        <w:t>uzmanı</w:t>
      </w:r>
      <w:r w:rsidR="00F144F3">
        <w:rPr>
          <w:lang w:val="en-US"/>
        </w:rPr>
        <w:t xml:space="preserve"> Türkiye’nin </w:t>
      </w:r>
      <w:r w:rsidR="00CA6CD6">
        <w:rPr>
          <w:lang w:val="en-US"/>
        </w:rPr>
        <w:t xml:space="preserve">notunun yatırım yapılabilir seviyesine çıkmasını beklemektedir. Bu da </w:t>
      </w:r>
      <w:r w:rsidR="00E94D11">
        <w:rPr>
          <w:lang w:val="en-US"/>
        </w:rPr>
        <w:t>ödememe riskinin azalması</w:t>
      </w:r>
      <w:r w:rsidR="00CA6CD6">
        <w:rPr>
          <w:lang w:val="en-US"/>
        </w:rPr>
        <w:t xml:space="preserve"> ve ülkeye daha fazla yabancı sermaye akışı </w:t>
      </w:r>
      <w:r w:rsidR="00E94D11">
        <w:rPr>
          <w:lang w:val="en-US"/>
        </w:rPr>
        <w:t>sayesinde</w:t>
      </w:r>
      <w:r w:rsidR="00CA6CD6">
        <w:rPr>
          <w:lang w:val="en-US"/>
        </w:rPr>
        <w:t xml:space="preserve"> Türk bankaları </w:t>
      </w:r>
      <w:proofErr w:type="spellStart"/>
      <w:r w:rsidR="00CA6CD6">
        <w:rPr>
          <w:lang w:val="en-US"/>
        </w:rPr>
        <w:t>için</w:t>
      </w:r>
      <w:proofErr w:type="spellEnd"/>
      <w:r w:rsidR="00CA6CD6">
        <w:rPr>
          <w:lang w:val="en-US"/>
        </w:rPr>
        <w:t xml:space="preserve"> </w:t>
      </w:r>
      <w:proofErr w:type="spellStart"/>
      <w:r w:rsidR="00CA6CD6">
        <w:rPr>
          <w:lang w:val="en-US"/>
        </w:rPr>
        <w:t>daha</w:t>
      </w:r>
      <w:proofErr w:type="spellEnd"/>
      <w:r w:rsidR="00CA6CD6">
        <w:rPr>
          <w:lang w:val="en-US"/>
        </w:rPr>
        <w:t xml:space="preserve"> </w:t>
      </w:r>
      <w:proofErr w:type="spellStart"/>
      <w:r w:rsidR="00CA6CD6">
        <w:rPr>
          <w:lang w:val="en-US"/>
        </w:rPr>
        <w:t>düşük</w:t>
      </w:r>
      <w:proofErr w:type="spellEnd"/>
      <w:r w:rsidR="00CA6CD6">
        <w:rPr>
          <w:lang w:val="en-US"/>
        </w:rPr>
        <w:t xml:space="preserve"> </w:t>
      </w:r>
      <w:proofErr w:type="spellStart"/>
      <w:r w:rsidR="00664F06">
        <w:rPr>
          <w:lang w:val="en-US"/>
        </w:rPr>
        <w:t>fonlama</w:t>
      </w:r>
      <w:proofErr w:type="spellEnd"/>
      <w:r w:rsidR="00664F06">
        <w:rPr>
          <w:lang w:val="en-US"/>
        </w:rPr>
        <w:t xml:space="preserve"> </w:t>
      </w:r>
      <w:proofErr w:type="spellStart"/>
      <w:r w:rsidR="00CA6CD6">
        <w:rPr>
          <w:lang w:val="en-US"/>
        </w:rPr>
        <w:t>maliyeti</w:t>
      </w:r>
      <w:proofErr w:type="spellEnd"/>
      <w:r w:rsidR="00CA6CD6">
        <w:rPr>
          <w:lang w:val="en-US"/>
        </w:rPr>
        <w:t xml:space="preserve"> </w:t>
      </w:r>
      <w:proofErr w:type="spellStart"/>
      <w:r w:rsidR="00CA6CD6">
        <w:rPr>
          <w:lang w:val="en-US"/>
        </w:rPr>
        <w:t>anlamına</w:t>
      </w:r>
      <w:proofErr w:type="spellEnd"/>
      <w:r w:rsidR="00CA6CD6">
        <w:rPr>
          <w:lang w:val="en-US"/>
        </w:rPr>
        <w:t xml:space="preserve"> </w:t>
      </w:r>
      <w:proofErr w:type="spellStart"/>
      <w:r w:rsidR="00CA6CD6">
        <w:rPr>
          <w:lang w:val="en-US"/>
        </w:rPr>
        <w:t>gelmektedir</w:t>
      </w:r>
      <w:proofErr w:type="spellEnd"/>
      <w:r w:rsidR="00CA6CD6">
        <w:rPr>
          <w:lang w:val="en-US"/>
        </w:rPr>
        <w:t>.</w:t>
      </w:r>
    </w:p>
    <w:p w:rsidR="00436E63" w:rsidRPr="00F6631D" w:rsidRDefault="00E94D11" w:rsidP="00436E63">
      <w:pPr>
        <w:pStyle w:val="ListParagraph"/>
        <w:numPr>
          <w:ilvl w:val="0"/>
          <w:numId w:val="2"/>
        </w:numPr>
        <w:tabs>
          <w:tab w:val="left" w:pos="567"/>
        </w:tabs>
        <w:ind w:left="567" w:hanging="567"/>
        <w:jc w:val="both"/>
        <w:rPr>
          <w:lang w:val="en-US"/>
        </w:rPr>
      </w:pPr>
      <w:r>
        <w:rPr>
          <w:lang w:val="en-US"/>
        </w:rPr>
        <w:t>E</w:t>
      </w:r>
      <w:r w:rsidR="00CA6CD6">
        <w:rPr>
          <w:lang w:val="en-US"/>
        </w:rPr>
        <w:t>konomideki son gelişmeler ve küresel kriz karşısındaki istikrar s</w:t>
      </w:r>
      <w:r>
        <w:rPr>
          <w:lang w:val="en-US"/>
        </w:rPr>
        <w:t xml:space="preserve">ayesinde Türkiye sadece ticaretle uğraşanlar </w:t>
      </w:r>
      <w:r w:rsidR="00CA6CD6">
        <w:rPr>
          <w:lang w:val="en-US"/>
        </w:rPr>
        <w:t xml:space="preserve">için değil uluslararası finansal kurumlar için </w:t>
      </w:r>
      <w:r>
        <w:rPr>
          <w:lang w:val="en-US"/>
        </w:rPr>
        <w:t>de bilinen</w:t>
      </w:r>
      <w:r w:rsidR="00CA6CD6">
        <w:rPr>
          <w:lang w:val="en-US"/>
        </w:rPr>
        <w:t xml:space="preserve"> bir ca</w:t>
      </w:r>
      <w:r w:rsidR="003A26AE">
        <w:rPr>
          <w:lang w:val="en-US"/>
        </w:rPr>
        <w:t>zibe merkezi haline gelmiştir. B</w:t>
      </w:r>
      <w:r w:rsidR="00CA6CD6">
        <w:rPr>
          <w:lang w:val="en-US"/>
        </w:rPr>
        <w:t>u bağlamda, kıtaların buluştuğu şehir olan İstanbul’un finansal kıtaları</w:t>
      </w:r>
      <w:r w:rsidR="003A26AE">
        <w:rPr>
          <w:lang w:val="en-US"/>
        </w:rPr>
        <w:t xml:space="preserve"> da</w:t>
      </w:r>
      <w:r w:rsidR="00CA6CD6">
        <w:rPr>
          <w:lang w:val="en-US"/>
        </w:rPr>
        <w:t xml:space="preserve">, yani Avrasya, </w:t>
      </w:r>
      <w:r w:rsidR="003A26AE">
        <w:rPr>
          <w:lang w:val="en-US"/>
        </w:rPr>
        <w:t>Körfez</w:t>
      </w:r>
      <w:r w:rsidR="00CA6CD6">
        <w:rPr>
          <w:lang w:val="en-US"/>
        </w:rPr>
        <w:t xml:space="preserve"> ülkeleri ve Orta Doğu’yu </w:t>
      </w:r>
      <w:r w:rsidR="003A26AE">
        <w:rPr>
          <w:lang w:val="en-US"/>
        </w:rPr>
        <w:t>biraraya getiren</w:t>
      </w:r>
      <w:r w:rsidR="00CA6CD6">
        <w:rPr>
          <w:lang w:val="en-US"/>
        </w:rPr>
        <w:t xml:space="preserve"> küresel finans merkezi olma yolunda ilerlediği söylenebilir.</w:t>
      </w:r>
      <w:r w:rsidR="00436E63" w:rsidRPr="00F6631D">
        <w:rPr>
          <w:lang w:val="en-US"/>
        </w:rPr>
        <w:t xml:space="preserve"> </w:t>
      </w:r>
    </w:p>
    <w:p w:rsidR="00CA6CD6" w:rsidRPr="00F6631D" w:rsidRDefault="00DD7700" w:rsidP="00436E63">
      <w:pPr>
        <w:pStyle w:val="ListParagraph"/>
        <w:numPr>
          <w:ilvl w:val="0"/>
          <w:numId w:val="2"/>
        </w:numPr>
        <w:tabs>
          <w:tab w:val="left" w:pos="567"/>
        </w:tabs>
        <w:ind w:left="567" w:hanging="567"/>
        <w:jc w:val="both"/>
        <w:rPr>
          <w:lang w:val="en-US"/>
        </w:rPr>
      </w:pPr>
      <w:r>
        <w:rPr>
          <w:lang w:val="en-US"/>
        </w:rPr>
        <w:t>Türkiye ve özellikle Türk bankacılık sektörü oldukça gelişmiş teknolojik altyapıya, liberal bir hukuki ortama ve eğitimli/</w:t>
      </w:r>
      <w:r w:rsidR="003A26AE">
        <w:rPr>
          <w:lang w:val="en-US"/>
        </w:rPr>
        <w:t>kaliteli insan</w:t>
      </w:r>
      <w:r w:rsidR="00F654BE">
        <w:rPr>
          <w:lang w:val="en-US"/>
        </w:rPr>
        <w:t xml:space="preserve"> kaynağ</w:t>
      </w:r>
      <w:r>
        <w:rPr>
          <w:lang w:val="en-US"/>
        </w:rPr>
        <w:t>ına sahiptir.</w:t>
      </w:r>
    </w:p>
    <w:p w:rsidR="00436E63" w:rsidRPr="00F6631D" w:rsidRDefault="00436E63" w:rsidP="00203302">
      <w:pPr>
        <w:pStyle w:val="ListParagraph"/>
        <w:tabs>
          <w:tab w:val="left" w:pos="567"/>
        </w:tabs>
        <w:ind w:left="567"/>
        <w:jc w:val="both"/>
        <w:rPr>
          <w:lang w:val="en-US"/>
        </w:rPr>
      </w:pPr>
    </w:p>
    <w:p w:rsidR="00436E63" w:rsidRPr="00F6631D" w:rsidRDefault="00436E63" w:rsidP="00436E63">
      <w:pPr>
        <w:spacing w:after="0"/>
        <w:jc w:val="both"/>
        <w:rPr>
          <w:highlight w:val="lightGray"/>
          <w:lang w:val="en-US"/>
        </w:rPr>
      </w:pPr>
    </w:p>
    <w:p w:rsidR="00DD7700" w:rsidRDefault="00DD7700" w:rsidP="00436E63">
      <w:pPr>
        <w:spacing w:after="0"/>
        <w:jc w:val="both"/>
        <w:rPr>
          <w:b/>
          <w:sz w:val="24"/>
          <w:szCs w:val="24"/>
          <w:lang w:val="en-US"/>
        </w:rPr>
      </w:pPr>
      <w:r>
        <w:rPr>
          <w:b/>
          <w:sz w:val="24"/>
          <w:szCs w:val="24"/>
          <w:lang w:val="en-US"/>
        </w:rPr>
        <w:t>KATILIM BANKACILIĞI SEKTÖRÜ</w:t>
      </w:r>
    </w:p>
    <w:p w:rsidR="00DD7700" w:rsidRDefault="00DD7700" w:rsidP="00436E63">
      <w:pPr>
        <w:spacing w:after="0"/>
        <w:jc w:val="both"/>
        <w:rPr>
          <w:b/>
          <w:sz w:val="24"/>
          <w:szCs w:val="24"/>
          <w:lang w:val="en-US"/>
        </w:rPr>
      </w:pPr>
    </w:p>
    <w:p w:rsidR="00436E63" w:rsidRPr="00664F06" w:rsidRDefault="009A479F" w:rsidP="00436E63">
      <w:pPr>
        <w:spacing w:after="0"/>
        <w:jc w:val="both"/>
        <w:rPr>
          <w:lang w:val="en-US"/>
        </w:rPr>
      </w:pPr>
      <w:proofErr w:type="gramStart"/>
      <w:r w:rsidRPr="009A479F">
        <w:rPr>
          <w:lang w:val="en-US"/>
        </w:rPr>
        <w:t xml:space="preserve">Katılım bankaları, Türkiye’de İslami </w:t>
      </w:r>
      <w:proofErr w:type="spellStart"/>
      <w:r w:rsidRPr="009A479F">
        <w:rPr>
          <w:lang w:val="en-US"/>
        </w:rPr>
        <w:t>bankacılık</w:t>
      </w:r>
      <w:proofErr w:type="spellEnd"/>
      <w:r w:rsidRPr="009A479F">
        <w:rPr>
          <w:lang w:val="en-US"/>
        </w:rPr>
        <w:t xml:space="preserve"> </w:t>
      </w:r>
      <w:proofErr w:type="spellStart"/>
      <w:r w:rsidRPr="009A479F">
        <w:rPr>
          <w:lang w:val="en-US"/>
        </w:rPr>
        <w:t>ilkelerine</w:t>
      </w:r>
      <w:proofErr w:type="spellEnd"/>
      <w:r w:rsidRPr="009A479F">
        <w:rPr>
          <w:lang w:val="en-US"/>
        </w:rPr>
        <w:t xml:space="preserve"> </w:t>
      </w:r>
      <w:proofErr w:type="spellStart"/>
      <w:r w:rsidRPr="009A479F">
        <w:rPr>
          <w:lang w:val="en-US"/>
        </w:rPr>
        <w:t>göre</w:t>
      </w:r>
      <w:proofErr w:type="spellEnd"/>
      <w:r w:rsidRPr="009A479F">
        <w:rPr>
          <w:lang w:val="en-US"/>
        </w:rPr>
        <w:t xml:space="preserve">, </w:t>
      </w:r>
      <w:proofErr w:type="spellStart"/>
      <w:r w:rsidRPr="009A479F">
        <w:rPr>
          <w:lang w:val="en-US"/>
        </w:rPr>
        <w:t>yani</w:t>
      </w:r>
      <w:proofErr w:type="spellEnd"/>
      <w:r w:rsidRPr="009A479F">
        <w:rPr>
          <w:lang w:val="en-US"/>
        </w:rPr>
        <w:t xml:space="preserve"> </w:t>
      </w:r>
      <w:proofErr w:type="spellStart"/>
      <w:r w:rsidRPr="009A479F">
        <w:rPr>
          <w:lang w:val="en-US"/>
        </w:rPr>
        <w:t>faiz</w:t>
      </w:r>
      <w:proofErr w:type="spellEnd"/>
      <w:r w:rsidRPr="009A479F">
        <w:rPr>
          <w:lang w:val="en-US"/>
        </w:rPr>
        <w:t xml:space="preserve"> </w:t>
      </w:r>
      <w:proofErr w:type="spellStart"/>
      <w:r w:rsidRPr="009A479F">
        <w:rPr>
          <w:lang w:val="en-US"/>
        </w:rPr>
        <w:t>içermeyen</w:t>
      </w:r>
      <w:proofErr w:type="spellEnd"/>
      <w:r w:rsidRPr="009A479F">
        <w:rPr>
          <w:lang w:val="en-US"/>
        </w:rPr>
        <w:t xml:space="preserve"> </w:t>
      </w:r>
      <w:proofErr w:type="spellStart"/>
      <w:r w:rsidRPr="009A479F">
        <w:rPr>
          <w:lang w:val="en-US"/>
        </w:rPr>
        <w:t>finansal</w:t>
      </w:r>
      <w:proofErr w:type="spellEnd"/>
      <w:r w:rsidRPr="009A479F">
        <w:rPr>
          <w:lang w:val="en-US"/>
        </w:rPr>
        <w:t xml:space="preserve"> </w:t>
      </w:r>
      <w:proofErr w:type="spellStart"/>
      <w:r w:rsidRPr="009A479F">
        <w:rPr>
          <w:lang w:val="en-US"/>
        </w:rPr>
        <w:t>hizmet</w:t>
      </w:r>
      <w:proofErr w:type="spellEnd"/>
      <w:r w:rsidRPr="009A479F">
        <w:rPr>
          <w:lang w:val="en-US"/>
        </w:rPr>
        <w:t xml:space="preserve"> </w:t>
      </w:r>
      <w:proofErr w:type="spellStart"/>
      <w:r w:rsidRPr="009A479F">
        <w:rPr>
          <w:lang w:val="en-US"/>
        </w:rPr>
        <w:t>ve</w:t>
      </w:r>
      <w:proofErr w:type="spellEnd"/>
      <w:r w:rsidRPr="009A479F">
        <w:rPr>
          <w:lang w:val="en-US"/>
        </w:rPr>
        <w:t xml:space="preserve"> </w:t>
      </w:r>
      <w:proofErr w:type="spellStart"/>
      <w:r w:rsidRPr="009A479F">
        <w:rPr>
          <w:lang w:val="en-US"/>
        </w:rPr>
        <w:t>ürünler</w:t>
      </w:r>
      <w:proofErr w:type="spellEnd"/>
      <w:r w:rsidRPr="009A479F">
        <w:rPr>
          <w:lang w:val="en-US"/>
        </w:rPr>
        <w:t xml:space="preserve"> </w:t>
      </w:r>
      <w:proofErr w:type="spellStart"/>
      <w:r w:rsidRPr="009A479F">
        <w:rPr>
          <w:lang w:val="en-US"/>
        </w:rPr>
        <w:t>sunan</w:t>
      </w:r>
      <w:proofErr w:type="spellEnd"/>
      <w:r w:rsidRPr="009A479F">
        <w:rPr>
          <w:lang w:val="en-US"/>
        </w:rPr>
        <w:t xml:space="preserve"> </w:t>
      </w:r>
      <w:proofErr w:type="spellStart"/>
      <w:r w:rsidRPr="009A479F">
        <w:rPr>
          <w:lang w:val="en-US"/>
        </w:rPr>
        <w:t>bankalardır</w:t>
      </w:r>
      <w:proofErr w:type="spellEnd"/>
      <w:r w:rsidRPr="009A479F">
        <w:rPr>
          <w:lang w:val="en-US"/>
        </w:rPr>
        <w:t>.</w:t>
      </w:r>
      <w:proofErr w:type="gramEnd"/>
      <w:r w:rsidRPr="009A479F">
        <w:rPr>
          <w:lang w:val="en-US"/>
        </w:rPr>
        <w:t xml:space="preserve"> Esasında katılım bankaları, ilk faizsiz bankanın kurulduğu 1984 </w:t>
      </w:r>
      <w:proofErr w:type="spellStart"/>
      <w:r w:rsidRPr="009A479F">
        <w:rPr>
          <w:lang w:val="en-US"/>
        </w:rPr>
        <w:t>yılında</w:t>
      </w:r>
      <w:proofErr w:type="spellEnd"/>
      <w:r w:rsidRPr="009A479F">
        <w:rPr>
          <w:lang w:val="en-US"/>
        </w:rPr>
        <w:t xml:space="preserve"> </w:t>
      </w:r>
      <w:proofErr w:type="spellStart"/>
      <w:r w:rsidRPr="009A479F">
        <w:rPr>
          <w:lang w:val="en-US"/>
        </w:rPr>
        <w:t>çıkarılan</w:t>
      </w:r>
      <w:proofErr w:type="spellEnd"/>
      <w:r w:rsidRPr="009A479F">
        <w:rPr>
          <w:lang w:val="en-US"/>
        </w:rPr>
        <w:t xml:space="preserve"> </w:t>
      </w:r>
      <w:proofErr w:type="spellStart"/>
      <w:r w:rsidRPr="009A479F">
        <w:rPr>
          <w:lang w:val="en-US"/>
        </w:rPr>
        <w:t>bir</w:t>
      </w:r>
      <w:proofErr w:type="spellEnd"/>
      <w:r w:rsidRPr="009A479F">
        <w:rPr>
          <w:lang w:val="en-US"/>
        </w:rPr>
        <w:t xml:space="preserve"> </w:t>
      </w:r>
      <w:proofErr w:type="spellStart"/>
      <w:r w:rsidRPr="009A479F">
        <w:rPr>
          <w:lang w:val="en-US"/>
        </w:rPr>
        <w:t>hükümet</w:t>
      </w:r>
      <w:proofErr w:type="spellEnd"/>
      <w:r w:rsidRPr="009A479F">
        <w:rPr>
          <w:lang w:val="en-US"/>
        </w:rPr>
        <w:t xml:space="preserve"> </w:t>
      </w:r>
      <w:proofErr w:type="spellStart"/>
      <w:r w:rsidRPr="009A479F">
        <w:rPr>
          <w:lang w:val="en-US"/>
        </w:rPr>
        <w:t>kararnamesi</w:t>
      </w:r>
      <w:proofErr w:type="spellEnd"/>
      <w:r w:rsidRPr="009A479F">
        <w:rPr>
          <w:lang w:val="en-US"/>
        </w:rPr>
        <w:t xml:space="preserve"> </w:t>
      </w:r>
      <w:proofErr w:type="spellStart"/>
      <w:r w:rsidRPr="009A479F">
        <w:rPr>
          <w:lang w:val="en-US"/>
        </w:rPr>
        <w:t>çerçevesinde</w:t>
      </w:r>
      <w:proofErr w:type="spellEnd"/>
      <w:r w:rsidRPr="009A479F">
        <w:rPr>
          <w:lang w:val="en-US"/>
        </w:rPr>
        <w:t xml:space="preserve"> </w:t>
      </w:r>
      <w:proofErr w:type="spellStart"/>
      <w:r w:rsidRPr="009A479F">
        <w:rPr>
          <w:lang w:val="en-US"/>
        </w:rPr>
        <w:t>faaliyet</w:t>
      </w:r>
      <w:proofErr w:type="spellEnd"/>
      <w:r w:rsidRPr="009A479F">
        <w:rPr>
          <w:lang w:val="en-US"/>
        </w:rPr>
        <w:t xml:space="preserve"> gösterirken2000 </w:t>
      </w:r>
      <w:proofErr w:type="spellStart"/>
      <w:r w:rsidRPr="009A479F">
        <w:rPr>
          <w:lang w:val="en-US"/>
        </w:rPr>
        <w:t>yılında</w:t>
      </w:r>
      <w:proofErr w:type="spellEnd"/>
      <w:r w:rsidRPr="009A479F">
        <w:rPr>
          <w:lang w:val="en-US"/>
        </w:rPr>
        <w:t xml:space="preserve"> </w:t>
      </w:r>
      <w:proofErr w:type="spellStart"/>
      <w:r w:rsidRPr="009A479F">
        <w:rPr>
          <w:lang w:val="en-US"/>
        </w:rPr>
        <w:t>Bankacılık</w:t>
      </w:r>
      <w:proofErr w:type="spellEnd"/>
      <w:r w:rsidRPr="009A479F">
        <w:rPr>
          <w:lang w:val="en-US"/>
        </w:rPr>
        <w:t xml:space="preserve"> </w:t>
      </w:r>
      <w:proofErr w:type="spellStart"/>
      <w:r w:rsidRPr="009A479F">
        <w:rPr>
          <w:lang w:val="en-US"/>
        </w:rPr>
        <w:t>Düzenleme</w:t>
      </w:r>
      <w:proofErr w:type="spellEnd"/>
      <w:r w:rsidRPr="009A479F">
        <w:rPr>
          <w:lang w:val="en-US"/>
        </w:rPr>
        <w:t xml:space="preserve"> ve Denetleme Kurulu (BDDK) denetimine tabi olmuşlardır.</w:t>
      </w:r>
    </w:p>
    <w:p w:rsidR="00FD2EB2" w:rsidRDefault="00FD2EB2" w:rsidP="00436E63">
      <w:pPr>
        <w:spacing w:after="0"/>
        <w:jc w:val="both"/>
        <w:rPr>
          <w:lang w:val="en-US"/>
        </w:rPr>
      </w:pPr>
    </w:p>
    <w:p w:rsidR="00E125B8" w:rsidRDefault="00FD2EB2" w:rsidP="00436E63">
      <w:pPr>
        <w:spacing w:after="0"/>
        <w:jc w:val="both"/>
        <w:rPr>
          <w:lang w:val="en-US"/>
        </w:rPr>
      </w:pPr>
      <w:r>
        <w:rPr>
          <w:lang w:val="en-US"/>
        </w:rPr>
        <w:t xml:space="preserve">2005’teki mevcut Bankacılık kanununun </w:t>
      </w:r>
      <w:r w:rsidR="009730D6">
        <w:rPr>
          <w:lang w:val="en-US"/>
        </w:rPr>
        <w:t>çıkarılmasıyla</w:t>
      </w:r>
      <w:r>
        <w:rPr>
          <w:lang w:val="en-US"/>
        </w:rPr>
        <w:t xml:space="preserve">, katılım bankaları </w:t>
      </w:r>
      <w:r w:rsidR="009730D6">
        <w:rPr>
          <w:lang w:val="en-US"/>
        </w:rPr>
        <w:t xml:space="preserve">genel </w:t>
      </w:r>
      <w:r>
        <w:rPr>
          <w:lang w:val="en-US"/>
        </w:rPr>
        <w:t>ba</w:t>
      </w:r>
      <w:r w:rsidR="009730D6">
        <w:rPr>
          <w:lang w:val="en-US"/>
        </w:rPr>
        <w:t>n</w:t>
      </w:r>
      <w:r>
        <w:rPr>
          <w:lang w:val="en-US"/>
        </w:rPr>
        <w:t xml:space="preserve">kacılık sistemiyle tamamen bütünleşmiş ve katılım bankalarındaki mevduatlar da bir kamu kuruluşu olan TMSF garantisi altına alınmıştır. Böylelikle katılım bankaları tarafından toplanan mevduatlar mevduat bankalarıyla aynı sigorta </w:t>
      </w:r>
      <w:r w:rsidR="00F654BE">
        <w:rPr>
          <w:lang w:val="en-US"/>
        </w:rPr>
        <w:t>kapsamına girmiştir</w:t>
      </w:r>
      <w:r w:rsidR="00E125B8">
        <w:rPr>
          <w:lang w:val="en-US"/>
        </w:rPr>
        <w:t>.</w:t>
      </w:r>
      <w:r w:rsidR="009730D6">
        <w:rPr>
          <w:lang w:val="en-US"/>
        </w:rPr>
        <w:t xml:space="preserve"> B</w:t>
      </w:r>
      <w:r>
        <w:rPr>
          <w:lang w:val="en-US"/>
        </w:rPr>
        <w:t xml:space="preserve">u yasa </w:t>
      </w:r>
      <w:r w:rsidR="00E125B8">
        <w:rPr>
          <w:lang w:val="en-US"/>
        </w:rPr>
        <w:t xml:space="preserve">ile birlikte faizsiz bankalar için </w:t>
      </w:r>
      <w:r>
        <w:rPr>
          <w:lang w:val="en-US"/>
        </w:rPr>
        <w:t>“özel finans kurumu”</w:t>
      </w:r>
      <w:r w:rsidR="00E125B8">
        <w:rPr>
          <w:lang w:val="en-US"/>
        </w:rPr>
        <w:t xml:space="preserve"> yerine “katılım bankası” ismi kullanılmaya  başlanmıştır. </w:t>
      </w:r>
      <w:proofErr w:type="gramStart"/>
      <w:r w:rsidR="00A26408">
        <w:rPr>
          <w:lang w:val="en-US"/>
        </w:rPr>
        <w:t xml:space="preserve">Görünüşte önemsiz olan bu değişiklik katılım bankalarının yerel ve özellikle de küresel piyasada kendilerini daha </w:t>
      </w:r>
      <w:proofErr w:type="spellStart"/>
      <w:r w:rsidR="00A26408">
        <w:rPr>
          <w:lang w:val="en-US"/>
        </w:rPr>
        <w:t>etkin</w:t>
      </w:r>
      <w:proofErr w:type="spellEnd"/>
      <w:r w:rsidR="00A26408">
        <w:rPr>
          <w:lang w:val="en-US"/>
        </w:rPr>
        <w:t xml:space="preserve"> </w:t>
      </w:r>
      <w:proofErr w:type="spellStart"/>
      <w:r w:rsidR="00A26408">
        <w:rPr>
          <w:lang w:val="en-US"/>
        </w:rPr>
        <w:t>bir</w:t>
      </w:r>
      <w:proofErr w:type="spellEnd"/>
      <w:r w:rsidR="00A26408">
        <w:rPr>
          <w:lang w:val="en-US"/>
        </w:rPr>
        <w:t xml:space="preserve"> </w:t>
      </w:r>
      <w:proofErr w:type="spellStart"/>
      <w:r w:rsidR="00A26408">
        <w:rPr>
          <w:lang w:val="en-US"/>
        </w:rPr>
        <w:t>şekilde</w:t>
      </w:r>
      <w:proofErr w:type="spellEnd"/>
      <w:r w:rsidR="00A26408">
        <w:rPr>
          <w:lang w:val="en-US"/>
        </w:rPr>
        <w:t xml:space="preserve"> </w:t>
      </w:r>
      <w:proofErr w:type="spellStart"/>
      <w:r w:rsidR="00664F06">
        <w:rPr>
          <w:lang w:val="en-US"/>
        </w:rPr>
        <w:t>konumlandırmalarını</w:t>
      </w:r>
      <w:proofErr w:type="spellEnd"/>
      <w:r w:rsidR="00664F06">
        <w:rPr>
          <w:lang w:val="en-US"/>
        </w:rPr>
        <w:t xml:space="preserve"> </w:t>
      </w:r>
      <w:proofErr w:type="spellStart"/>
      <w:r w:rsidR="00A26408">
        <w:rPr>
          <w:lang w:val="en-US"/>
        </w:rPr>
        <w:t>sağlamıştır</w:t>
      </w:r>
      <w:proofErr w:type="spellEnd"/>
      <w:r w:rsidR="00A26408">
        <w:rPr>
          <w:lang w:val="en-US"/>
        </w:rPr>
        <w:t>.</w:t>
      </w:r>
      <w:proofErr w:type="gramEnd"/>
      <w:r w:rsidR="00A26408">
        <w:rPr>
          <w:lang w:val="en-US"/>
        </w:rPr>
        <w:t xml:space="preserve"> </w:t>
      </w:r>
    </w:p>
    <w:p w:rsidR="00A26408" w:rsidRDefault="00A26408" w:rsidP="00436E63">
      <w:pPr>
        <w:spacing w:after="0"/>
        <w:jc w:val="both"/>
        <w:rPr>
          <w:lang w:val="en-US"/>
        </w:rPr>
      </w:pPr>
    </w:p>
    <w:p w:rsidR="00A26408" w:rsidRPr="00F6631D" w:rsidRDefault="00A26408" w:rsidP="00436E63">
      <w:pPr>
        <w:spacing w:after="0"/>
        <w:jc w:val="both"/>
        <w:rPr>
          <w:lang w:val="en-US"/>
        </w:rPr>
      </w:pPr>
      <w:r>
        <w:rPr>
          <w:lang w:val="en-US"/>
        </w:rPr>
        <w:t xml:space="preserve">Bugün Türkiye’de dört katılım bankası vardır: Kuveyt Türk, Bank Asya, Türkiye Finans ve Albaraka Türk. </w:t>
      </w:r>
      <w:proofErr w:type="gramStart"/>
      <w:r>
        <w:rPr>
          <w:lang w:val="en-US"/>
        </w:rPr>
        <w:t xml:space="preserve">Türk bankacılık sisteminin önemli ve en hızlı büyüyen </w:t>
      </w:r>
      <w:r w:rsidRPr="00353D38">
        <w:rPr>
          <w:highlight w:val="yellow"/>
          <w:lang w:val="en-US"/>
        </w:rPr>
        <w:t>kesimi</w:t>
      </w:r>
      <w:r>
        <w:rPr>
          <w:lang w:val="en-US"/>
        </w:rPr>
        <w:t xml:space="preserve"> </w:t>
      </w:r>
      <w:proofErr w:type="spellStart"/>
      <w:r>
        <w:rPr>
          <w:lang w:val="en-US"/>
        </w:rPr>
        <w:t>olan</w:t>
      </w:r>
      <w:proofErr w:type="spellEnd"/>
      <w:r>
        <w:rPr>
          <w:lang w:val="en-US"/>
        </w:rPr>
        <w:t xml:space="preserve"> </w:t>
      </w:r>
      <w:proofErr w:type="spellStart"/>
      <w:r>
        <w:rPr>
          <w:lang w:val="en-US"/>
        </w:rPr>
        <w:t>katılım</w:t>
      </w:r>
      <w:proofErr w:type="spellEnd"/>
      <w:r>
        <w:rPr>
          <w:lang w:val="en-US"/>
        </w:rPr>
        <w:t xml:space="preserve"> </w:t>
      </w:r>
      <w:proofErr w:type="spellStart"/>
      <w:r>
        <w:rPr>
          <w:lang w:val="en-US"/>
        </w:rPr>
        <w:t>bankaları</w:t>
      </w:r>
      <w:proofErr w:type="spellEnd"/>
      <w:r>
        <w:rPr>
          <w:lang w:val="en-US"/>
        </w:rPr>
        <w:t xml:space="preserve"> </w:t>
      </w:r>
      <w:r w:rsidR="00664F06">
        <w:rPr>
          <w:lang w:val="en-US"/>
        </w:rPr>
        <w:t xml:space="preserve">2008 </w:t>
      </w:r>
      <w:proofErr w:type="spellStart"/>
      <w:r w:rsidR="00664F06">
        <w:rPr>
          <w:lang w:val="en-US"/>
        </w:rPr>
        <w:t>yılnda</w:t>
      </w:r>
      <w:proofErr w:type="spellEnd"/>
      <w:r w:rsidR="00664F06">
        <w:rPr>
          <w:lang w:val="en-US"/>
        </w:rPr>
        <w:t xml:space="preserve"> </w:t>
      </w:r>
      <w:proofErr w:type="spellStart"/>
      <w:r w:rsidR="00664F06">
        <w:rPr>
          <w:lang w:val="en-US"/>
        </w:rPr>
        <w:t>balşlayan</w:t>
      </w:r>
      <w:proofErr w:type="spellEnd"/>
      <w:r w:rsidR="00664F06">
        <w:rPr>
          <w:lang w:val="en-US"/>
        </w:rPr>
        <w:t xml:space="preserve"> </w:t>
      </w:r>
      <w:proofErr w:type="spellStart"/>
      <w:r>
        <w:rPr>
          <w:lang w:val="en-US"/>
        </w:rPr>
        <w:t>küresel</w:t>
      </w:r>
      <w:proofErr w:type="spellEnd"/>
      <w:r>
        <w:rPr>
          <w:lang w:val="en-US"/>
        </w:rPr>
        <w:t xml:space="preserve"> </w:t>
      </w:r>
      <w:r w:rsidR="009730D6">
        <w:rPr>
          <w:lang w:val="en-US"/>
        </w:rPr>
        <w:t>karışıklıkta</w:t>
      </w:r>
      <w:r>
        <w:rPr>
          <w:lang w:val="en-US"/>
        </w:rPr>
        <w:t xml:space="preserve"> hayati bir testi geçmişlerdi</w:t>
      </w:r>
      <w:r w:rsidR="009730D6">
        <w:rPr>
          <w:lang w:val="en-US"/>
        </w:rPr>
        <w:t>r.</w:t>
      </w:r>
      <w:proofErr w:type="gramEnd"/>
      <w:r w:rsidR="009730D6">
        <w:rPr>
          <w:lang w:val="en-US"/>
        </w:rPr>
        <w:t xml:space="preserve"> A</w:t>
      </w:r>
      <w:r>
        <w:rPr>
          <w:lang w:val="en-US"/>
        </w:rPr>
        <w:t xml:space="preserve">ynı zamanda geçtiğimiz on yıl içerisinde toplam aktif büyüklüğü, finansman ve mevduat hacimleri ve </w:t>
      </w:r>
      <w:r w:rsidR="009730D6">
        <w:rPr>
          <w:lang w:val="en-US"/>
        </w:rPr>
        <w:t>yaygınlık açısı</w:t>
      </w:r>
      <w:r>
        <w:rPr>
          <w:lang w:val="en-US"/>
        </w:rPr>
        <w:t xml:space="preserve">ndan oldukça iyi </w:t>
      </w:r>
      <w:r w:rsidR="00353D38">
        <w:rPr>
          <w:lang w:val="en-US"/>
        </w:rPr>
        <w:t>performans sergilemişlerdir</w:t>
      </w:r>
      <w:r w:rsidR="007A3D91">
        <w:rPr>
          <w:lang w:val="en-US"/>
        </w:rPr>
        <w:t>. K</w:t>
      </w:r>
      <w:r>
        <w:rPr>
          <w:lang w:val="en-US"/>
        </w:rPr>
        <w:t xml:space="preserve">atılım bankaları 2002’de 1.8 milyar olan </w:t>
      </w:r>
      <w:r w:rsidR="007A3D91">
        <w:rPr>
          <w:lang w:val="en-US"/>
        </w:rPr>
        <w:t xml:space="preserve">toplam </w:t>
      </w:r>
      <w:r>
        <w:rPr>
          <w:lang w:val="en-US"/>
        </w:rPr>
        <w:t>ak</w:t>
      </w:r>
      <w:r w:rsidR="007A3D91">
        <w:rPr>
          <w:lang w:val="en-US"/>
        </w:rPr>
        <w:t>tiflerini 2010 yılında 28 milyar</w:t>
      </w:r>
      <w:r>
        <w:rPr>
          <w:lang w:val="en-US"/>
        </w:rPr>
        <w:t xml:space="preserve"> dolara çıkarırken aynı dönemde </w:t>
      </w:r>
      <w:r w:rsidR="007A3D91">
        <w:rPr>
          <w:lang w:val="en-US"/>
        </w:rPr>
        <w:t xml:space="preserve">yıllık bileşik büyüme oranı </w:t>
      </w:r>
      <w:r w:rsidR="00353D38">
        <w:rPr>
          <w:lang w:val="en-US"/>
        </w:rPr>
        <w:t>sektör</w:t>
      </w:r>
      <w:r>
        <w:rPr>
          <w:lang w:val="en-US"/>
        </w:rPr>
        <w:t xml:space="preserve"> ortalaması </w:t>
      </w:r>
      <w:r w:rsidR="007A3D91">
        <w:rPr>
          <w:lang w:val="en-US"/>
        </w:rPr>
        <w:t xml:space="preserve">için </w:t>
      </w:r>
      <w:r>
        <w:rPr>
          <w:lang w:val="en-US"/>
        </w:rPr>
        <w:t xml:space="preserve">%19 </w:t>
      </w:r>
      <w:r w:rsidR="007A3D91">
        <w:rPr>
          <w:lang w:val="en-US"/>
        </w:rPr>
        <w:t>iken katılım bankalarında %33 olmuştur. B</w:t>
      </w:r>
      <w:r>
        <w:rPr>
          <w:lang w:val="en-US"/>
        </w:rPr>
        <w:t xml:space="preserve">u </w:t>
      </w:r>
      <w:r w:rsidR="009230DA">
        <w:rPr>
          <w:lang w:val="en-US"/>
        </w:rPr>
        <w:t>hızlı</w:t>
      </w:r>
      <w:r>
        <w:rPr>
          <w:lang w:val="en-US"/>
        </w:rPr>
        <w:t xml:space="preserve"> büyüme oranlarının bir sonucu olarak 2002’de %2.1 olan </w:t>
      </w:r>
      <w:r w:rsidR="009230DA">
        <w:rPr>
          <w:lang w:val="en-US"/>
        </w:rPr>
        <w:t xml:space="preserve">toplam </w:t>
      </w:r>
      <w:r>
        <w:rPr>
          <w:lang w:val="en-US"/>
        </w:rPr>
        <w:t>aktif paylarını 2010’da %4.3’e çıkarmışlardır.</w:t>
      </w:r>
    </w:p>
    <w:p w:rsidR="00436E63" w:rsidRPr="00F6631D" w:rsidRDefault="00436E63" w:rsidP="00436E63">
      <w:pPr>
        <w:spacing w:after="0"/>
        <w:jc w:val="both"/>
        <w:rPr>
          <w:highlight w:val="lightGray"/>
          <w:lang w:val="en-US"/>
        </w:rPr>
      </w:pPr>
    </w:p>
    <w:p w:rsidR="00A26408" w:rsidRDefault="00A26408" w:rsidP="00436E63">
      <w:pPr>
        <w:spacing w:after="100" w:afterAutospacing="1"/>
        <w:jc w:val="both"/>
        <w:rPr>
          <w:lang w:val="en-US"/>
        </w:rPr>
      </w:pPr>
    </w:p>
    <w:p w:rsidR="00A84898" w:rsidRDefault="00A26408" w:rsidP="00436E63">
      <w:pPr>
        <w:spacing w:after="100" w:afterAutospacing="1"/>
        <w:jc w:val="both"/>
        <w:rPr>
          <w:lang w:val="en-US"/>
        </w:rPr>
      </w:pPr>
      <w:r>
        <w:rPr>
          <w:lang w:val="en-US"/>
        </w:rPr>
        <w:lastRenderedPageBreak/>
        <w:t xml:space="preserve">Görünüşteki bu hızlı büyümenin </w:t>
      </w:r>
      <w:r w:rsidR="00FA5E96">
        <w:rPr>
          <w:lang w:val="en-US"/>
        </w:rPr>
        <w:t>altında</w:t>
      </w:r>
      <w:r w:rsidR="009230DA">
        <w:rPr>
          <w:lang w:val="en-US"/>
        </w:rPr>
        <w:t xml:space="preserve"> katılım bankalarının dönem</w:t>
      </w:r>
      <w:r>
        <w:rPr>
          <w:lang w:val="en-US"/>
        </w:rPr>
        <w:t xml:space="preserve"> başında (2002) sahip olduğu </w:t>
      </w:r>
      <w:r w:rsidRPr="00353D38">
        <w:rPr>
          <w:highlight w:val="yellow"/>
          <w:lang w:val="en-US"/>
        </w:rPr>
        <w:t>düşük temel</w:t>
      </w:r>
      <w:r w:rsidR="00FA5E96" w:rsidRPr="00353D38">
        <w:rPr>
          <w:highlight w:val="yellow"/>
          <w:lang w:val="en-US"/>
        </w:rPr>
        <w:t>in</w:t>
      </w:r>
      <w:r>
        <w:rPr>
          <w:lang w:val="en-US"/>
        </w:rPr>
        <w:t xml:space="preserve"> </w:t>
      </w:r>
      <w:r w:rsidR="00FA5E96">
        <w:rPr>
          <w:lang w:val="en-US"/>
        </w:rPr>
        <w:t>yattığını</w:t>
      </w:r>
      <w:r>
        <w:rPr>
          <w:lang w:val="en-US"/>
        </w:rPr>
        <w:t xml:space="preserve"> iddia edenler olabilir. Bu argüman bir d</w:t>
      </w:r>
      <w:r w:rsidR="00FA5E96">
        <w:rPr>
          <w:lang w:val="en-US"/>
        </w:rPr>
        <w:t>ereceye kadar doğru olmakla ber</w:t>
      </w:r>
      <w:r>
        <w:rPr>
          <w:lang w:val="en-US"/>
        </w:rPr>
        <w:t>a</w:t>
      </w:r>
      <w:r w:rsidR="00FA5E96">
        <w:rPr>
          <w:lang w:val="en-US"/>
        </w:rPr>
        <w:t>b</w:t>
      </w:r>
      <w:r>
        <w:rPr>
          <w:lang w:val="en-US"/>
        </w:rPr>
        <w:t xml:space="preserve">er bütün başarıyı düşük temel etkisine bağlamak haksızlık olacaktır. </w:t>
      </w:r>
      <w:r w:rsidR="00BD06EE">
        <w:rPr>
          <w:lang w:val="en-US"/>
        </w:rPr>
        <w:t xml:space="preserve">Kanaatime göre, geçtiğimiz on yıl içerisindeki bu takdire şayan başarının arkasında temelde başka faktörler bulunmaktadır: faizsiz ürün ve hizmetlere olan ilginin artması, devlet </w:t>
      </w:r>
      <w:r w:rsidR="00FA5E96">
        <w:rPr>
          <w:lang w:val="en-US"/>
        </w:rPr>
        <w:t>borç senetlerine</w:t>
      </w:r>
      <w:r w:rsidR="00BD06EE">
        <w:rPr>
          <w:lang w:val="en-US"/>
        </w:rPr>
        <w:t xml:space="preserve"> yatırım yerine finansman temelli büyüme (gerçek bankacılık)</w:t>
      </w:r>
      <w:r w:rsidR="00A84898">
        <w:rPr>
          <w:rStyle w:val="FootnoteReference"/>
          <w:lang w:val="en-US"/>
        </w:rPr>
        <w:footnoteReference w:id="1"/>
      </w:r>
      <w:r w:rsidR="00A84898">
        <w:rPr>
          <w:lang w:val="en-US"/>
        </w:rPr>
        <w:t>,</w:t>
      </w:r>
      <w:r w:rsidR="00BD06EE">
        <w:rPr>
          <w:lang w:val="en-US"/>
        </w:rPr>
        <w:t xml:space="preserve"> </w:t>
      </w:r>
      <w:r w:rsidR="00A84898">
        <w:rPr>
          <w:lang w:val="en-US"/>
        </w:rPr>
        <w:t>görece</w:t>
      </w:r>
      <w:r w:rsidR="00FA5E96">
        <w:rPr>
          <w:lang w:val="en-US"/>
        </w:rPr>
        <w:t xml:space="preserve"> daha muhafazakar kesimin kullanılmayan yerel </w:t>
      </w:r>
      <w:r w:rsidR="00A84898">
        <w:rPr>
          <w:lang w:val="en-US"/>
        </w:rPr>
        <w:t xml:space="preserve">tasarruflarına odaklanma, ülke içindeki şube </w:t>
      </w:r>
      <w:r w:rsidR="00664F06">
        <w:rPr>
          <w:lang w:val="en-US"/>
        </w:rPr>
        <w:t xml:space="preserve"> ağını</w:t>
      </w:r>
      <w:r w:rsidR="00A84898">
        <w:rPr>
          <w:lang w:val="en-US"/>
        </w:rPr>
        <w:t xml:space="preserve"> </w:t>
      </w:r>
      <w:r w:rsidR="00664F06">
        <w:rPr>
          <w:lang w:val="en-US"/>
        </w:rPr>
        <w:t xml:space="preserve">genişletme </w:t>
      </w:r>
      <w:r w:rsidR="00A84898">
        <w:rPr>
          <w:lang w:val="en-US"/>
        </w:rPr>
        <w:t>ve yeni müşterilere ulaşma, daha etkili promosyon faaliyetleri</w:t>
      </w:r>
      <w:r w:rsidR="00664F06">
        <w:rPr>
          <w:lang w:val="en-US"/>
        </w:rPr>
        <w:t xml:space="preserve"> yürütme</w:t>
      </w:r>
      <w:r w:rsidR="00A84898">
        <w:rPr>
          <w:lang w:val="en-US"/>
        </w:rPr>
        <w:t xml:space="preserve">, müşterilerle ve bilhassa KOBİ’lerle daha sıcak ve olumlu ilişkiler kurma ve nihai </w:t>
      </w:r>
      <w:proofErr w:type="spellStart"/>
      <w:r w:rsidR="00A84898">
        <w:rPr>
          <w:lang w:val="en-US"/>
        </w:rPr>
        <w:t>olarak</w:t>
      </w:r>
      <w:proofErr w:type="spellEnd"/>
      <w:r w:rsidR="00A84898">
        <w:rPr>
          <w:lang w:val="en-US"/>
        </w:rPr>
        <w:t xml:space="preserve"> </w:t>
      </w:r>
      <w:proofErr w:type="spellStart"/>
      <w:r w:rsidR="00664F06">
        <w:rPr>
          <w:lang w:val="en-US"/>
        </w:rPr>
        <w:t>mevzuattaki</w:t>
      </w:r>
      <w:proofErr w:type="spellEnd"/>
      <w:r w:rsidR="00664F06">
        <w:rPr>
          <w:lang w:val="en-US"/>
        </w:rPr>
        <w:t xml:space="preserve"> </w:t>
      </w:r>
      <w:proofErr w:type="spellStart"/>
      <w:r w:rsidR="00A84898">
        <w:rPr>
          <w:lang w:val="en-US"/>
        </w:rPr>
        <w:t>olumlu</w:t>
      </w:r>
      <w:proofErr w:type="spellEnd"/>
      <w:r w:rsidR="00A84898">
        <w:rPr>
          <w:lang w:val="en-US"/>
        </w:rPr>
        <w:t xml:space="preserve"> </w:t>
      </w:r>
      <w:proofErr w:type="spellStart"/>
      <w:r w:rsidR="00A84898">
        <w:rPr>
          <w:lang w:val="en-US"/>
        </w:rPr>
        <w:t>i</w:t>
      </w:r>
      <w:proofErr w:type="spellEnd"/>
      <w:r w:rsidR="00A84898">
        <w:rPr>
          <w:lang w:val="en-US"/>
        </w:rPr>
        <w:t xml:space="preserve"> </w:t>
      </w:r>
      <w:proofErr w:type="spellStart"/>
      <w:r w:rsidR="00A84898">
        <w:rPr>
          <w:lang w:val="en-US"/>
        </w:rPr>
        <w:t>gelişmeler</w:t>
      </w:r>
      <w:proofErr w:type="spellEnd"/>
      <w:r w:rsidR="00A84898">
        <w:rPr>
          <w:lang w:val="en-US"/>
        </w:rPr>
        <w:t xml:space="preserve"> </w:t>
      </w:r>
      <w:proofErr w:type="spellStart"/>
      <w:r w:rsidR="00A84898">
        <w:rPr>
          <w:lang w:val="en-US"/>
        </w:rPr>
        <w:t>gibi</w:t>
      </w:r>
      <w:proofErr w:type="spellEnd"/>
      <w:r w:rsidR="00A84898">
        <w:rPr>
          <w:lang w:val="en-US"/>
        </w:rPr>
        <w:t>.</w:t>
      </w:r>
    </w:p>
    <w:p w:rsidR="00987ACA" w:rsidRPr="00F6631D" w:rsidRDefault="00FA5E96" w:rsidP="00203302">
      <w:pPr>
        <w:spacing w:after="100" w:afterAutospacing="1"/>
        <w:jc w:val="both"/>
        <w:rPr>
          <w:lang w:val="en-US"/>
        </w:rPr>
      </w:pPr>
      <w:r>
        <w:rPr>
          <w:lang w:val="en-US"/>
        </w:rPr>
        <w:t>B</w:t>
      </w:r>
      <w:r w:rsidR="00987ACA">
        <w:rPr>
          <w:lang w:val="en-US"/>
        </w:rPr>
        <w:t>u yukarı yönlü eğilimin en azından yakın gelecekte de devam etmesi ve katılım ba</w:t>
      </w:r>
      <w:r>
        <w:rPr>
          <w:lang w:val="en-US"/>
        </w:rPr>
        <w:t>n</w:t>
      </w:r>
      <w:r w:rsidR="00987ACA">
        <w:rPr>
          <w:lang w:val="en-US"/>
        </w:rPr>
        <w:t>kacılığı sektörünün %4.3 olan mevcut piyasa payının 5-7 yıl içerisinde</w:t>
      </w:r>
      <w:r w:rsidR="00987ACA" w:rsidRPr="00987ACA">
        <w:rPr>
          <w:lang w:val="en-US"/>
        </w:rPr>
        <w:t xml:space="preserve"> </w:t>
      </w:r>
      <w:r w:rsidR="00987ACA">
        <w:rPr>
          <w:lang w:val="en-US"/>
        </w:rPr>
        <w:t xml:space="preserve">iyimser bir tahminle </w:t>
      </w:r>
      <w:r>
        <w:rPr>
          <w:lang w:val="en-US"/>
        </w:rPr>
        <w:t>%10’a ulaşması beklenmektedir. B</w:t>
      </w:r>
      <w:r w:rsidR="00987ACA">
        <w:rPr>
          <w:lang w:val="en-US"/>
        </w:rPr>
        <w:t>u hedefe ulaşabilmek için Türk bankacılık sektörüne ait yukar</w:t>
      </w:r>
      <w:r>
        <w:rPr>
          <w:lang w:val="en-US"/>
        </w:rPr>
        <w:t>ı</w:t>
      </w:r>
      <w:r w:rsidR="00987ACA">
        <w:rPr>
          <w:lang w:val="en-US"/>
        </w:rPr>
        <w:t>da belirtilen etkenlerin yanısıra katılım bankalarının bir takım başka avantajları da bulunmaktadır;</w:t>
      </w:r>
    </w:p>
    <w:p w:rsidR="00987ACA" w:rsidRDefault="00987ACA" w:rsidP="00436E63">
      <w:pPr>
        <w:pStyle w:val="ListParagraph"/>
        <w:numPr>
          <w:ilvl w:val="0"/>
          <w:numId w:val="2"/>
        </w:numPr>
        <w:ind w:left="426" w:hanging="426"/>
        <w:jc w:val="both"/>
        <w:rPr>
          <w:lang w:val="en-US"/>
        </w:rPr>
      </w:pPr>
      <w:r>
        <w:rPr>
          <w:lang w:val="en-US"/>
        </w:rPr>
        <w:t xml:space="preserve">Bazı araştırmacılar Türk toplumunun giderek muhafazakarlaştığını, aynı zamanda bu kesimin </w:t>
      </w:r>
      <w:r w:rsidR="00FA5E96">
        <w:rPr>
          <w:lang w:val="en-US"/>
        </w:rPr>
        <w:t>tedrici</w:t>
      </w:r>
      <w:r>
        <w:rPr>
          <w:lang w:val="en-US"/>
        </w:rPr>
        <w:t xml:space="preserve"> fakat sürekli olarak zenginleştiğini belirtmektedirler. Sonuç olarak, şunu iddia edebilirz ki, Türkiye’deki </w:t>
      </w:r>
      <w:proofErr w:type="spellStart"/>
      <w:r>
        <w:rPr>
          <w:lang w:val="en-US"/>
        </w:rPr>
        <w:t>bu</w:t>
      </w:r>
      <w:proofErr w:type="spellEnd"/>
      <w:r>
        <w:rPr>
          <w:lang w:val="en-US"/>
        </w:rPr>
        <w:t xml:space="preserve"> </w:t>
      </w:r>
      <w:proofErr w:type="spellStart"/>
      <w:r>
        <w:rPr>
          <w:lang w:val="en-US"/>
        </w:rPr>
        <w:t>toplumsal</w:t>
      </w:r>
      <w:proofErr w:type="spellEnd"/>
      <w:r>
        <w:rPr>
          <w:lang w:val="en-US"/>
        </w:rPr>
        <w:t xml:space="preserve"> </w:t>
      </w:r>
      <w:proofErr w:type="spellStart"/>
      <w:r>
        <w:rPr>
          <w:lang w:val="en-US"/>
        </w:rPr>
        <w:t>değişimler</w:t>
      </w:r>
      <w:proofErr w:type="spellEnd"/>
      <w:r>
        <w:rPr>
          <w:lang w:val="en-US"/>
        </w:rPr>
        <w:t xml:space="preserve"> </w:t>
      </w:r>
      <w:proofErr w:type="spellStart"/>
      <w:r w:rsidR="00664F06">
        <w:rPr>
          <w:lang w:val="en-US"/>
        </w:rPr>
        <w:t>faizsiz</w:t>
      </w:r>
      <w:proofErr w:type="spellEnd"/>
      <w:r w:rsidR="00664F06">
        <w:rPr>
          <w:lang w:val="en-US"/>
        </w:rPr>
        <w:t xml:space="preserve"> </w:t>
      </w:r>
      <w:proofErr w:type="spellStart"/>
      <w:r>
        <w:rPr>
          <w:lang w:val="en-US"/>
        </w:rPr>
        <w:t>bankacılık</w:t>
      </w:r>
      <w:proofErr w:type="spellEnd"/>
      <w:r>
        <w:rPr>
          <w:lang w:val="en-US"/>
        </w:rPr>
        <w:t xml:space="preserve"> </w:t>
      </w:r>
      <w:proofErr w:type="spellStart"/>
      <w:r>
        <w:rPr>
          <w:lang w:val="en-US"/>
        </w:rPr>
        <w:t>hizmet</w:t>
      </w:r>
      <w:proofErr w:type="spellEnd"/>
      <w:r>
        <w:rPr>
          <w:lang w:val="en-US"/>
        </w:rPr>
        <w:t xml:space="preserve"> </w:t>
      </w:r>
      <w:proofErr w:type="spellStart"/>
      <w:r>
        <w:rPr>
          <w:lang w:val="en-US"/>
        </w:rPr>
        <w:t>ve</w:t>
      </w:r>
      <w:proofErr w:type="spellEnd"/>
      <w:r>
        <w:rPr>
          <w:lang w:val="en-US"/>
        </w:rPr>
        <w:t xml:space="preserve"> ürünlerine olan talebi </w:t>
      </w:r>
      <w:r w:rsidR="00FA5E96">
        <w:rPr>
          <w:lang w:val="en-US"/>
        </w:rPr>
        <w:t>artıracaktır</w:t>
      </w:r>
      <w:r>
        <w:rPr>
          <w:lang w:val="en-US"/>
        </w:rPr>
        <w:t>.</w:t>
      </w:r>
    </w:p>
    <w:p w:rsidR="00987ACA" w:rsidRPr="00F6631D" w:rsidRDefault="00DA583D" w:rsidP="00436E63">
      <w:pPr>
        <w:pStyle w:val="ListParagraph"/>
        <w:numPr>
          <w:ilvl w:val="0"/>
          <w:numId w:val="2"/>
        </w:numPr>
        <w:ind w:left="426" w:hanging="426"/>
        <w:jc w:val="both"/>
        <w:rPr>
          <w:lang w:val="en-US"/>
        </w:rPr>
      </w:pPr>
      <w:r>
        <w:rPr>
          <w:lang w:val="en-US"/>
        </w:rPr>
        <w:t xml:space="preserve">Katılım bankalarına özgü herhangi bir pozitif ayrımcılık olmamakla birlikte, </w:t>
      </w:r>
      <w:proofErr w:type="spellStart"/>
      <w:r>
        <w:rPr>
          <w:lang w:val="en-US"/>
        </w:rPr>
        <w:t>faizsiz</w:t>
      </w:r>
      <w:proofErr w:type="spellEnd"/>
      <w:r>
        <w:rPr>
          <w:lang w:val="en-US"/>
        </w:rPr>
        <w:t xml:space="preserve"> </w:t>
      </w:r>
      <w:proofErr w:type="spellStart"/>
      <w:r>
        <w:rPr>
          <w:lang w:val="en-US"/>
        </w:rPr>
        <w:t>bankacılık</w:t>
      </w:r>
      <w:proofErr w:type="spellEnd"/>
      <w:r>
        <w:rPr>
          <w:lang w:val="en-US"/>
        </w:rPr>
        <w:t xml:space="preserve"> </w:t>
      </w:r>
      <w:proofErr w:type="spellStart"/>
      <w:r>
        <w:rPr>
          <w:lang w:val="en-US"/>
        </w:rPr>
        <w:t>ile</w:t>
      </w:r>
      <w:proofErr w:type="spellEnd"/>
      <w:r>
        <w:rPr>
          <w:lang w:val="en-US"/>
        </w:rPr>
        <w:t xml:space="preserve"> </w:t>
      </w:r>
      <w:proofErr w:type="spellStart"/>
      <w:r>
        <w:rPr>
          <w:lang w:val="en-US"/>
        </w:rPr>
        <w:t>i</w:t>
      </w:r>
      <w:r w:rsidR="00987ACA">
        <w:rPr>
          <w:lang w:val="en-US"/>
        </w:rPr>
        <w:t>lgili</w:t>
      </w:r>
      <w:proofErr w:type="spellEnd"/>
      <w:r w:rsidR="00987ACA">
        <w:rPr>
          <w:lang w:val="en-US"/>
        </w:rPr>
        <w:t xml:space="preserve"> </w:t>
      </w:r>
      <w:proofErr w:type="spellStart"/>
      <w:r w:rsidR="00987ACA">
        <w:rPr>
          <w:lang w:val="en-US"/>
        </w:rPr>
        <w:t>düzenleme</w:t>
      </w:r>
      <w:proofErr w:type="spellEnd"/>
      <w:r w:rsidR="00987ACA">
        <w:rPr>
          <w:lang w:val="en-US"/>
        </w:rPr>
        <w:t xml:space="preserve"> </w:t>
      </w:r>
      <w:proofErr w:type="spellStart"/>
      <w:r w:rsidR="00987ACA">
        <w:rPr>
          <w:lang w:val="en-US"/>
        </w:rPr>
        <w:t>ve</w:t>
      </w:r>
      <w:proofErr w:type="spellEnd"/>
      <w:r w:rsidR="00987ACA">
        <w:rPr>
          <w:lang w:val="en-US"/>
        </w:rPr>
        <w:t xml:space="preserve"> </w:t>
      </w:r>
      <w:proofErr w:type="spellStart"/>
      <w:r w:rsidR="00987ACA">
        <w:rPr>
          <w:lang w:val="en-US"/>
        </w:rPr>
        <w:t>kanunlar</w:t>
      </w:r>
      <w:proofErr w:type="spellEnd"/>
      <w:r w:rsidR="00987ACA">
        <w:rPr>
          <w:lang w:val="en-US"/>
        </w:rPr>
        <w:t xml:space="preserve"> </w:t>
      </w:r>
      <w:proofErr w:type="spellStart"/>
      <w:r w:rsidR="00987ACA">
        <w:rPr>
          <w:lang w:val="en-US"/>
        </w:rPr>
        <w:t>öncekinden</w:t>
      </w:r>
      <w:proofErr w:type="spellEnd"/>
      <w:r w:rsidR="00987ACA">
        <w:rPr>
          <w:lang w:val="en-US"/>
        </w:rPr>
        <w:t xml:space="preserve"> </w:t>
      </w:r>
      <w:proofErr w:type="spellStart"/>
      <w:r w:rsidR="00987ACA">
        <w:rPr>
          <w:lang w:val="en-US"/>
        </w:rPr>
        <w:t>daha</w:t>
      </w:r>
      <w:proofErr w:type="spellEnd"/>
      <w:r w:rsidR="00987ACA">
        <w:rPr>
          <w:lang w:val="en-US"/>
        </w:rPr>
        <w:t xml:space="preserve"> </w:t>
      </w:r>
      <w:proofErr w:type="spellStart"/>
      <w:r>
        <w:rPr>
          <w:lang w:val="en-US"/>
        </w:rPr>
        <w:t>özgürlükçü</w:t>
      </w:r>
      <w:proofErr w:type="spellEnd"/>
      <w:r>
        <w:rPr>
          <w:lang w:val="en-US"/>
        </w:rPr>
        <w:t xml:space="preserve"> </w:t>
      </w:r>
      <w:r w:rsidR="00987ACA">
        <w:rPr>
          <w:lang w:val="en-US"/>
        </w:rPr>
        <w:t xml:space="preserve">hale </w:t>
      </w:r>
      <w:proofErr w:type="spellStart"/>
      <w:r w:rsidR="00987ACA">
        <w:rPr>
          <w:lang w:val="en-US"/>
        </w:rPr>
        <w:t>gelmiş</w:t>
      </w:r>
      <w:r>
        <w:rPr>
          <w:lang w:val="en-US"/>
        </w:rPr>
        <w:t>tir</w:t>
      </w:r>
      <w:proofErr w:type="spellEnd"/>
      <w:r>
        <w:rPr>
          <w:lang w:val="en-US"/>
        </w:rPr>
        <w:t>.</w:t>
      </w:r>
      <w:r w:rsidR="00987ACA">
        <w:rPr>
          <w:lang w:val="en-US"/>
        </w:rPr>
        <w:t xml:space="preserve"> . Buna ilaveten, </w:t>
      </w:r>
      <w:r w:rsidR="006E6193">
        <w:rPr>
          <w:lang w:val="en-US"/>
        </w:rPr>
        <w:t>bankacılık sistemi</w:t>
      </w:r>
      <w:r w:rsidR="00987ACA">
        <w:rPr>
          <w:lang w:val="en-US"/>
        </w:rPr>
        <w:t xml:space="preserve"> düzenleyicilerinin özellikle </w:t>
      </w:r>
      <w:r w:rsidR="006E6193">
        <w:rPr>
          <w:lang w:val="en-US"/>
        </w:rPr>
        <w:t>Körfez</w:t>
      </w:r>
      <w:r w:rsidR="00987ACA">
        <w:rPr>
          <w:lang w:val="en-US"/>
        </w:rPr>
        <w:t xml:space="preserve"> fonlarından daha fazla yatırım ve sermaye çekebilmek için ileride katılım bankaları konusunda daha açık </w:t>
      </w:r>
      <w:proofErr w:type="spellStart"/>
      <w:r w:rsidR="00987ACA">
        <w:rPr>
          <w:lang w:val="en-US"/>
        </w:rPr>
        <w:t>fikirli</w:t>
      </w:r>
      <w:proofErr w:type="spellEnd"/>
      <w:r w:rsidR="00987ACA">
        <w:rPr>
          <w:lang w:val="en-US"/>
        </w:rPr>
        <w:t xml:space="preserve"> </w:t>
      </w:r>
      <w:proofErr w:type="spellStart"/>
      <w:r w:rsidR="00987ACA">
        <w:rPr>
          <w:lang w:val="en-US"/>
        </w:rPr>
        <w:t>ve</w:t>
      </w:r>
      <w:proofErr w:type="spellEnd"/>
      <w:r w:rsidR="00987ACA">
        <w:rPr>
          <w:lang w:val="en-US"/>
        </w:rPr>
        <w:t xml:space="preserve"> </w:t>
      </w:r>
      <w:proofErr w:type="spellStart"/>
      <w:r w:rsidR="00987ACA">
        <w:rPr>
          <w:lang w:val="en-US"/>
        </w:rPr>
        <w:t>olumlu</w:t>
      </w:r>
      <w:proofErr w:type="spellEnd"/>
      <w:r w:rsidR="00987ACA">
        <w:rPr>
          <w:lang w:val="en-US"/>
        </w:rPr>
        <w:t xml:space="preserve"> </w:t>
      </w:r>
      <w:proofErr w:type="spellStart"/>
      <w:r>
        <w:rPr>
          <w:lang w:val="en-US"/>
        </w:rPr>
        <w:t>bir</w:t>
      </w:r>
      <w:proofErr w:type="spellEnd"/>
      <w:r>
        <w:rPr>
          <w:lang w:val="en-US"/>
        </w:rPr>
        <w:t xml:space="preserve"> </w:t>
      </w:r>
      <w:proofErr w:type="spellStart"/>
      <w:r>
        <w:rPr>
          <w:lang w:val="en-US"/>
        </w:rPr>
        <w:t>tavır</w:t>
      </w:r>
      <w:proofErr w:type="spellEnd"/>
      <w:r>
        <w:rPr>
          <w:lang w:val="en-US"/>
        </w:rPr>
        <w:t xml:space="preserve"> </w:t>
      </w:r>
      <w:proofErr w:type="spellStart"/>
      <w:r>
        <w:rPr>
          <w:lang w:val="en-US"/>
        </w:rPr>
        <w:t>içerisinde</w:t>
      </w:r>
      <w:proofErr w:type="spellEnd"/>
      <w:r>
        <w:rPr>
          <w:lang w:val="en-US"/>
        </w:rPr>
        <w:t xml:space="preserve"> </w:t>
      </w:r>
      <w:proofErr w:type="spellStart"/>
      <w:r>
        <w:rPr>
          <w:lang w:val="en-US"/>
        </w:rPr>
        <w:t>olmaları</w:t>
      </w:r>
      <w:proofErr w:type="spellEnd"/>
      <w:r>
        <w:rPr>
          <w:lang w:val="en-US"/>
        </w:rPr>
        <w:t xml:space="preserve"> </w:t>
      </w:r>
      <w:proofErr w:type="spellStart"/>
      <w:r>
        <w:rPr>
          <w:lang w:val="en-US"/>
        </w:rPr>
        <w:t>beklenmektedir</w:t>
      </w:r>
      <w:proofErr w:type="spellEnd"/>
      <w:r>
        <w:rPr>
          <w:lang w:val="en-US"/>
        </w:rPr>
        <w:t>.</w:t>
      </w:r>
    </w:p>
    <w:p w:rsidR="00987ACA" w:rsidRDefault="00DA583D" w:rsidP="00436E63">
      <w:pPr>
        <w:pStyle w:val="ListParagraph"/>
        <w:numPr>
          <w:ilvl w:val="0"/>
          <w:numId w:val="2"/>
        </w:numPr>
        <w:ind w:left="426" w:hanging="426"/>
        <w:jc w:val="both"/>
        <w:rPr>
          <w:lang w:val="en-US"/>
        </w:rPr>
      </w:pPr>
      <w:r>
        <w:rPr>
          <w:lang w:val="en-US"/>
        </w:rPr>
        <w:t xml:space="preserve">Faize dayalı devlet bono ve tahvillerine yatırım yapmalarının </w:t>
      </w:r>
      <w:proofErr w:type="spellStart"/>
      <w:r>
        <w:rPr>
          <w:lang w:val="en-US"/>
        </w:rPr>
        <w:t>yasak</w:t>
      </w:r>
      <w:proofErr w:type="spellEnd"/>
      <w:r>
        <w:rPr>
          <w:lang w:val="en-US"/>
        </w:rPr>
        <w:t xml:space="preserve"> </w:t>
      </w:r>
      <w:proofErr w:type="spellStart"/>
      <w:r>
        <w:rPr>
          <w:lang w:val="en-US"/>
        </w:rPr>
        <w:t>olmasından</w:t>
      </w:r>
      <w:proofErr w:type="spellEnd"/>
      <w:r>
        <w:rPr>
          <w:lang w:val="en-US"/>
        </w:rPr>
        <w:t xml:space="preserve"> </w:t>
      </w:r>
      <w:proofErr w:type="spellStart"/>
      <w:r>
        <w:rPr>
          <w:lang w:val="en-US"/>
        </w:rPr>
        <w:t>ötürü</w:t>
      </w:r>
      <w:proofErr w:type="spellEnd"/>
      <w:r>
        <w:rPr>
          <w:lang w:val="en-US"/>
        </w:rPr>
        <w:t xml:space="preserve">, </w:t>
      </w:r>
      <w:proofErr w:type="spellStart"/>
      <w:r>
        <w:rPr>
          <w:lang w:val="en-US"/>
        </w:rPr>
        <w:t>k</w:t>
      </w:r>
      <w:r w:rsidR="00A70D33">
        <w:rPr>
          <w:lang w:val="en-US"/>
        </w:rPr>
        <w:t>atılım</w:t>
      </w:r>
      <w:proofErr w:type="spellEnd"/>
      <w:r w:rsidR="00A70D33">
        <w:rPr>
          <w:lang w:val="en-US"/>
        </w:rPr>
        <w:t xml:space="preserve"> </w:t>
      </w:r>
      <w:proofErr w:type="spellStart"/>
      <w:r w:rsidR="00A70D33">
        <w:rPr>
          <w:lang w:val="en-US"/>
        </w:rPr>
        <w:t>bankalarının</w:t>
      </w:r>
      <w:proofErr w:type="spellEnd"/>
      <w:r>
        <w:rPr>
          <w:lang w:val="en-US"/>
        </w:rPr>
        <w:t>,</w:t>
      </w:r>
      <w:r w:rsidR="00A70D33">
        <w:rPr>
          <w:lang w:val="en-US"/>
        </w:rPr>
        <w:t xml:space="preserve"> </w:t>
      </w:r>
      <w:proofErr w:type="spellStart"/>
      <w:r w:rsidR="00A70D33">
        <w:rPr>
          <w:lang w:val="en-US"/>
        </w:rPr>
        <w:t>büyüyüp</w:t>
      </w:r>
      <w:proofErr w:type="spellEnd"/>
      <w:r w:rsidR="00A70D33">
        <w:rPr>
          <w:lang w:val="en-US"/>
        </w:rPr>
        <w:t xml:space="preserve"> </w:t>
      </w:r>
      <w:proofErr w:type="spellStart"/>
      <w:r w:rsidR="00A70D33">
        <w:rPr>
          <w:lang w:val="en-US"/>
        </w:rPr>
        <w:t>kar</w:t>
      </w:r>
      <w:proofErr w:type="spellEnd"/>
      <w:r w:rsidR="00A70D33">
        <w:rPr>
          <w:lang w:val="en-US"/>
        </w:rPr>
        <w:t xml:space="preserve"> </w:t>
      </w:r>
      <w:proofErr w:type="spellStart"/>
      <w:r w:rsidR="00A70D33">
        <w:rPr>
          <w:lang w:val="en-US"/>
        </w:rPr>
        <w:t>etmek</w:t>
      </w:r>
      <w:proofErr w:type="spellEnd"/>
      <w:r w:rsidR="00A70D33">
        <w:rPr>
          <w:lang w:val="en-US"/>
        </w:rPr>
        <w:t xml:space="preserve"> </w:t>
      </w:r>
      <w:proofErr w:type="spellStart"/>
      <w:r w:rsidR="00A70D33">
        <w:rPr>
          <w:lang w:val="en-US"/>
        </w:rPr>
        <w:t>için</w:t>
      </w:r>
      <w:proofErr w:type="spellEnd"/>
      <w:r w:rsidR="00A70D33">
        <w:rPr>
          <w:lang w:val="en-US"/>
        </w:rPr>
        <w:t xml:space="preserve"> </w:t>
      </w:r>
      <w:proofErr w:type="spellStart"/>
      <w:r>
        <w:rPr>
          <w:lang w:val="en-US"/>
        </w:rPr>
        <w:t>fonlarını</w:t>
      </w:r>
      <w:proofErr w:type="spellEnd"/>
      <w:r>
        <w:rPr>
          <w:lang w:val="en-US"/>
        </w:rPr>
        <w:t xml:space="preserve"> </w:t>
      </w:r>
      <w:proofErr w:type="spellStart"/>
      <w:r w:rsidR="00A70D33">
        <w:rPr>
          <w:lang w:val="en-US"/>
        </w:rPr>
        <w:t>murabaha</w:t>
      </w:r>
      <w:proofErr w:type="spellEnd"/>
      <w:r w:rsidR="00A70D33">
        <w:rPr>
          <w:lang w:val="en-US"/>
        </w:rPr>
        <w:t xml:space="preserve">, </w:t>
      </w:r>
      <w:proofErr w:type="spellStart"/>
      <w:r>
        <w:rPr>
          <w:lang w:val="en-US"/>
        </w:rPr>
        <w:t>kar-zarar</w:t>
      </w:r>
      <w:proofErr w:type="spellEnd"/>
      <w:r>
        <w:rPr>
          <w:lang w:val="en-US"/>
        </w:rPr>
        <w:t xml:space="preserve"> </w:t>
      </w:r>
      <w:proofErr w:type="spellStart"/>
      <w:r>
        <w:rPr>
          <w:lang w:val="en-US"/>
        </w:rPr>
        <w:t>ortaklığı</w:t>
      </w:r>
      <w:proofErr w:type="spellEnd"/>
      <w:r>
        <w:rPr>
          <w:lang w:val="en-US"/>
        </w:rPr>
        <w:t xml:space="preserve"> veya </w:t>
      </w:r>
      <w:proofErr w:type="spellStart"/>
      <w:r>
        <w:rPr>
          <w:lang w:val="en-US"/>
        </w:rPr>
        <w:t>finansal</w:t>
      </w:r>
      <w:proofErr w:type="spellEnd"/>
      <w:r>
        <w:rPr>
          <w:lang w:val="en-US"/>
        </w:rPr>
        <w:t xml:space="preserve"> </w:t>
      </w:r>
      <w:proofErr w:type="spellStart"/>
      <w:r>
        <w:rPr>
          <w:lang w:val="en-US"/>
        </w:rPr>
        <w:t>kiralama</w:t>
      </w:r>
      <w:proofErr w:type="spellEnd"/>
      <w:r>
        <w:rPr>
          <w:lang w:val="en-US"/>
        </w:rPr>
        <w:t xml:space="preserve"> </w:t>
      </w:r>
      <w:proofErr w:type="spellStart"/>
      <w:r w:rsidR="00A70D33">
        <w:rPr>
          <w:lang w:val="en-US"/>
        </w:rPr>
        <w:t>gibi</w:t>
      </w:r>
      <w:proofErr w:type="spellEnd"/>
      <w:r w:rsidR="00A70D33">
        <w:rPr>
          <w:lang w:val="en-US"/>
        </w:rPr>
        <w:t xml:space="preserve"> </w:t>
      </w:r>
      <w:proofErr w:type="spellStart"/>
      <w:r>
        <w:rPr>
          <w:lang w:val="en-US"/>
        </w:rPr>
        <w:t>faizsiz</w:t>
      </w:r>
      <w:proofErr w:type="spellEnd"/>
      <w:r>
        <w:rPr>
          <w:lang w:val="en-US"/>
        </w:rPr>
        <w:t xml:space="preserve"> </w:t>
      </w:r>
      <w:proofErr w:type="spellStart"/>
      <w:r w:rsidR="00A70D33">
        <w:rPr>
          <w:lang w:val="en-US"/>
        </w:rPr>
        <w:t>finans</w:t>
      </w:r>
      <w:r>
        <w:rPr>
          <w:lang w:val="en-US"/>
        </w:rPr>
        <w:t>man</w:t>
      </w:r>
      <w:proofErr w:type="spellEnd"/>
      <w:r>
        <w:rPr>
          <w:lang w:val="en-US"/>
        </w:rPr>
        <w:t xml:space="preserve"> </w:t>
      </w:r>
      <w:proofErr w:type="spellStart"/>
      <w:r>
        <w:rPr>
          <w:lang w:val="en-US"/>
        </w:rPr>
        <w:t>metodları</w:t>
      </w:r>
      <w:proofErr w:type="spellEnd"/>
      <w:r>
        <w:rPr>
          <w:lang w:val="en-US"/>
        </w:rPr>
        <w:t xml:space="preserve"> </w:t>
      </w:r>
      <w:proofErr w:type="spellStart"/>
      <w:r>
        <w:rPr>
          <w:lang w:val="en-US"/>
        </w:rPr>
        <w:t>ile</w:t>
      </w:r>
      <w:proofErr w:type="spellEnd"/>
      <w:r>
        <w:rPr>
          <w:lang w:val="en-US"/>
        </w:rPr>
        <w:t xml:space="preserve"> </w:t>
      </w:r>
      <w:proofErr w:type="gramStart"/>
      <w:r>
        <w:rPr>
          <w:lang w:val="en-US"/>
        </w:rPr>
        <w:t xml:space="preserve">değerlendirmeleri </w:t>
      </w:r>
      <w:r w:rsidR="006E6193">
        <w:rPr>
          <w:lang w:val="en-US"/>
        </w:rPr>
        <w:t xml:space="preserve"> gerekmektedir</w:t>
      </w:r>
      <w:proofErr w:type="gramEnd"/>
      <w:r w:rsidR="00A70D33">
        <w:rPr>
          <w:lang w:val="en-US"/>
        </w:rPr>
        <w:t xml:space="preserve">. Bu amaçla, </w:t>
      </w:r>
      <w:r>
        <w:rPr>
          <w:lang w:val="en-US"/>
        </w:rPr>
        <w:t xml:space="preserve">kaynaklarının önemli bir bölümünüı sabit getirili devlet bonolarında değerlendiren </w:t>
      </w:r>
      <w:r w:rsidR="00A70D33">
        <w:rPr>
          <w:lang w:val="en-US"/>
        </w:rPr>
        <w:t>çoğu konvansiyonel bankanın aksine</w:t>
      </w:r>
      <w:r>
        <w:rPr>
          <w:lang w:val="en-US"/>
        </w:rPr>
        <w:t>,</w:t>
      </w:r>
      <w:r w:rsidR="00A70D33">
        <w:rPr>
          <w:lang w:val="en-US"/>
        </w:rPr>
        <w:t xml:space="preserve"> müşterilerine özellikl</w:t>
      </w:r>
      <w:r w:rsidR="006E6193">
        <w:rPr>
          <w:lang w:val="en-US"/>
        </w:rPr>
        <w:t>e</w:t>
      </w:r>
      <w:r w:rsidR="00A70D33">
        <w:rPr>
          <w:lang w:val="en-US"/>
        </w:rPr>
        <w:t xml:space="preserve"> de KOBİ seg</w:t>
      </w:r>
      <w:r w:rsidR="006E6193">
        <w:rPr>
          <w:lang w:val="en-US"/>
        </w:rPr>
        <w:t>mentindeki f</w:t>
      </w:r>
      <w:r w:rsidR="00353D38">
        <w:rPr>
          <w:lang w:val="en-US"/>
        </w:rPr>
        <w:t xml:space="preserve">irmalara </w:t>
      </w:r>
      <w:r>
        <w:rPr>
          <w:lang w:val="en-US"/>
        </w:rPr>
        <w:t xml:space="preserve">hep </w:t>
      </w:r>
      <w:proofErr w:type="spellStart"/>
      <w:r>
        <w:rPr>
          <w:lang w:val="en-US"/>
        </w:rPr>
        <w:t>daha</w:t>
      </w:r>
      <w:proofErr w:type="spellEnd"/>
      <w:r>
        <w:rPr>
          <w:lang w:val="en-US"/>
        </w:rPr>
        <w:t xml:space="preserve"> </w:t>
      </w:r>
      <w:proofErr w:type="spellStart"/>
      <w:r w:rsidR="00353D38">
        <w:rPr>
          <w:lang w:val="en-US"/>
        </w:rPr>
        <w:t>yakın</w:t>
      </w:r>
      <w:proofErr w:type="spellEnd"/>
      <w:r w:rsidR="00353D38">
        <w:rPr>
          <w:lang w:val="en-US"/>
        </w:rPr>
        <w:t xml:space="preserve"> </w:t>
      </w:r>
      <w:proofErr w:type="spellStart"/>
      <w:r w:rsidR="00353D38">
        <w:rPr>
          <w:lang w:val="en-US"/>
        </w:rPr>
        <w:t>olmaları</w:t>
      </w:r>
      <w:proofErr w:type="spellEnd"/>
      <w:r w:rsidR="00353D38">
        <w:rPr>
          <w:lang w:val="en-US"/>
        </w:rPr>
        <w:t xml:space="preserve"> </w:t>
      </w:r>
      <w:proofErr w:type="spellStart"/>
      <w:r w:rsidR="00353D38">
        <w:rPr>
          <w:lang w:val="en-US"/>
        </w:rPr>
        <w:t>gerek</w:t>
      </w:r>
      <w:r>
        <w:rPr>
          <w:lang w:val="en-US"/>
        </w:rPr>
        <w:t>miştir</w:t>
      </w:r>
      <w:proofErr w:type="spellEnd"/>
      <w:r>
        <w:rPr>
          <w:lang w:val="en-US"/>
        </w:rPr>
        <w:t>.</w:t>
      </w:r>
      <w:r w:rsidR="00A70D33">
        <w:rPr>
          <w:lang w:val="en-US"/>
        </w:rPr>
        <w:t xml:space="preserve"> Ayrıca daha önce bahsedildiği üzere Türkiye’de sadece dört tane katılım bankası olduğu için faiz hassasiyeti olan müşterilerin fazla alternatifi bulunmamaktadır. </w:t>
      </w:r>
      <w:r w:rsidR="00FF36FE">
        <w:rPr>
          <w:lang w:val="en-US"/>
        </w:rPr>
        <w:t xml:space="preserve">Bu iki faktörü göz önünde bulundurduğumuzda </w:t>
      </w:r>
      <w:r w:rsidR="006E6193">
        <w:rPr>
          <w:lang w:val="en-US"/>
        </w:rPr>
        <w:t xml:space="preserve">katılım bankalarının </w:t>
      </w:r>
      <w:r w:rsidR="00FF36FE">
        <w:rPr>
          <w:lang w:val="en-US"/>
        </w:rPr>
        <w:t>çoğu konvansiyonel bankadan daha yüksek mü</w:t>
      </w:r>
      <w:r w:rsidR="00353D38">
        <w:rPr>
          <w:lang w:val="en-US"/>
        </w:rPr>
        <w:t>şteri sadakatine sahip olduğu</w:t>
      </w:r>
      <w:r w:rsidR="00FF36FE">
        <w:rPr>
          <w:lang w:val="en-US"/>
        </w:rPr>
        <w:t xml:space="preserve"> söylenebilir.</w:t>
      </w:r>
    </w:p>
    <w:p w:rsidR="00FF36FE" w:rsidRPr="00F6631D" w:rsidRDefault="009810BD" w:rsidP="00436E63">
      <w:pPr>
        <w:pStyle w:val="ListParagraph"/>
        <w:numPr>
          <w:ilvl w:val="0"/>
          <w:numId w:val="2"/>
        </w:numPr>
        <w:ind w:left="426" w:hanging="426"/>
        <w:jc w:val="both"/>
        <w:rPr>
          <w:lang w:val="en-US"/>
        </w:rPr>
      </w:pPr>
      <w:r>
        <w:rPr>
          <w:lang w:val="en-US"/>
        </w:rPr>
        <w:t>Türkiye’nin Orta Doğu ve Kuze</w:t>
      </w:r>
      <w:r w:rsidR="006E6193">
        <w:rPr>
          <w:lang w:val="en-US"/>
        </w:rPr>
        <w:t>y Afrika ülkelerine ticaret hac</w:t>
      </w:r>
      <w:r>
        <w:rPr>
          <w:lang w:val="en-US"/>
        </w:rPr>
        <w:t>mini artırmaya yönelik dış ticaret politikası bugüne kadar çok başarılı olmuştur</w:t>
      </w:r>
      <w:r w:rsidR="00480DB5">
        <w:rPr>
          <w:lang w:val="en-US"/>
        </w:rPr>
        <w:t>. B</w:t>
      </w:r>
      <w:r>
        <w:rPr>
          <w:lang w:val="en-US"/>
        </w:rPr>
        <w:t xml:space="preserve">u tür girişimlerin bir sonucu olarak, </w:t>
      </w:r>
      <w:r w:rsidR="00E27631">
        <w:rPr>
          <w:lang w:val="en-US"/>
        </w:rPr>
        <w:t xml:space="preserve">geçtiğimiz yıllarda </w:t>
      </w:r>
      <w:r w:rsidR="006E6193">
        <w:rPr>
          <w:lang w:val="en-US"/>
        </w:rPr>
        <w:t>komşu İslam ülkeleriyle topl</w:t>
      </w:r>
      <w:r w:rsidR="00E27631">
        <w:rPr>
          <w:lang w:val="en-US"/>
        </w:rPr>
        <w:t>a</w:t>
      </w:r>
      <w:r w:rsidR="006E6193">
        <w:rPr>
          <w:lang w:val="en-US"/>
        </w:rPr>
        <w:t>m</w:t>
      </w:r>
      <w:r w:rsidR="00E27631">
        <w:rPr>
          <w:lang w:val="en-US"/>
        </w:rPr>
        <w:t xml:space="preserve"> ticaret hacminde farkedilir bir artış yaşanmıştır. Bu ülkelerde faaliyet gösteren çoğu İslami banka bu işlemlere aracılık etmesi için genellikle Türkiye’deki İslami kurumlarl</w:t>
      </w:r>
      <w:r w:rsidR="00353D38">
        <w:rPr>
          <w:lang w:val="en-US"/>
        </w:rPr>
        <w:t>a çalışmayı tercih etmektedir</w:t>
      </w:r>
      <w:r w:rsidR="00E27631">
        <w:rPr>
          <w:lang w:val="en-US"/>
        </w:rPr>
        <w:t xml:space="preserve"> ve bu tür işbirliği imkanları katılım bankalarının büyümesini desteklemektedir.</w:t>
      </w:r>
    </w:p>
    <w:p w:rsidR="00436E63" w:rsidRDefault="00436E63" w:rsidP="00436E63">
      <w:pPr>
        <w:jc w:val="both"/>
        <w:rPr>
          <w:b/>
          <w:u w:val="single"/>
          <w:lang w:val="en-US"/>
        </w:rPr>
      </w:pPr>
    </w:p>
    <w:p w:rsidR="00E27631" w:rsidRDefault="00E27631" w:rsidP="00436E63">
      <w:pPr>
        <w:jc w:val="both"/>
        <w:rPr>
          <w:b/>
          <w:u w:val="single"/>
          <w:lang w:val="en-US"/>
        </w:rPr>
      </w:pPr>
      <w:r>
        <w:rPr>
          <w:b/>
          <w:u w:val="single"/>
          <w:lang w:val="en-US"/>
        </w:rPr>
        <w:t>Ka</w:t>
      </w:r>
      <w:r w:rsidR="006E6193">
        <w:rPr>
          <w:b/>
          <w:u w:val="single"/>
          <w:lang w:val="en-US"/>
        </w:rPr>
        <w:t>tılım Bankalarının Gelecek</w:t>
      </w:r>
      <w:r>
        <w:rPr>
          <w:b/>
          <w:u w:val="single"/>
          <w:lang w:val="en-US"/>
        </w:rPr>
        <w:t xml:space="preserve"> Planları</w:t>
      </w:r>
    </w:p>
    <w:p w:rsidR="00E27631" w:rsidRDefault="00E27631" w:rsidP="00436E63">
      <w:pPr>
        <w:jc w:val="both"/>
        <w:rPr>
          <w:lang w:val="en-US"/>
        </w:rPr>
      </w:pPr>
      <w:r>
        <w:rPr>
          <w:lang w:val="en-US"/>
        </w:rPr>
        <w:t xml:space="preserve">Bu bölümde katılım bankalarının gelecek planlarından yahut </w:t>
      </w:r>
      <w:proofErr w:type="spellStart"/>
      <w:r>
        <w:rPr>
          <w:lang w:val="en-US"/>
        </w:rPr>
        <w:t>da</w:t>
      </w:r>
      <w:proofErr w:type="spellEnd"/>
      <w:r>
        <w:rPr>
          <w:lang w:val="en-US"/>
        </w:rPr>
        <w:t xml:space="preserve"> </w:t>
      </w:r>
      <w:proofErr w:type="spellStart"/>
      <w:r w:rsidR="00DA583D">
        <w:rPr>
          <w:lang w:val="en-US"/>
        </w:rPr>
        <w:t>önümüzdeki</w:t>
      </w:r>
      <w:proofErr w:type="spellEnd"/>
      <w:r w:rsidR="00DA583D">
        <w:rPr>
          <w:lang w:val="en-US"/>
        </w:rPr>
        <w:t xml:space="preserve"> </w:t>
      </w:r>
      <w:proofErr w:type="spellStart"/>
      <w:r w:rsidR="00DA583D">
        <w:rPr>
          <w:lang w:val="en-US"/>
        </w:rPr>
        <w:t>dönemde</w:t>
      </w:r>
      <w:proofErr w:type="spellEnd"/>
      <w:r w:rsidR="00DA583D">
        <w:rPr>
          <w:lang w:val="en-US"/>
        </w:rPr>
        <w:t xml:space="preserve"> </w:t>
      </w:r>
      <w:proofErr w:type="spellStart"/>
      <w:r w:rsidR="00DA583D">
        <w:rPr>
          <w:lang w:val="en-US"/>
        </w:rPr>
        <w:t>gündemlerine</w:t>
      </w:r>
      <w:proofErr w:type="spellEnd"/>
      <w:r w:rsidR="00DA583D">
        <w:rPr>
          <w:lang w:val="en-US"/>
        </w:rPr>
        <w:t xml:space="preserve"> </w:t>
      </w:r>
      <w:proofErr w:type="spellStart"/>
      <w:proofErr w:type="gramStart"/>
      <w:r w:rsidR="00DA583D">
        <w:rPr>
          <w:lang w:val="en-US"/>
        </w:rPr>
        <w:t>almaları</w:t>
      </w:r>
      <w:proofErr w:type="spellEnd"/>
      <w:r w:rsidR="00DA583D">
        <w:rPr>
          <w:lang w:val="en-US"/>
        </w:rPr>
        <w:t xml:space="preserve"> </w:t>
      </w:r>
      <w:r>
        <w:rPr>
          <w:lang w:val="en-US"/>
        </w:rPr>
        <w:t xml:space="preserve"> </w:t>
      </w:r>
      <w:proofErr w:type="spellStart"/>
      <w:r w:rsidR="00DA583D">
        <w:rPr>
          <w:lang w:val="en-US"/>
        </w:rPr>
        <w:t>beklenen</w:t>
      </w:r>
      <w:proofErr w:type="spellEnd"/>
      <w:proofErr w:type="gramEnd"/>
      <w:r w:rsidR="00DA583D">
        <w:rPr>
          <w:lang w:val="en-US"/>
        </w:rPr>
        <w:t xml:space="preserve"> </w:t>
      </w:r>
      <w:proofErr w:type="spellStart"/>
      <w:r w:rsidR="005C74E3">
        <w:rPr>
          <w:lang w:val="en-US"/>
        </w:rPr>
        <w:t>konulardan</w:t>
      </w:r>
      <w:proofErr w:type="spellEnd"/>
      <w:r>
        <w:rPr>
          <w:lang w:val="en-US"/>
        </w:rPr>
        <w:t xml:space="preserve"> bahsedeceğim. Benim görüşüme göre, katılım </w:t>
      </w:r>
      <w:proofErr w:type="spellStart"/>
      <w:r>
        <w:rPr>
          <w:lang w:val="en-US"/>
        </w:rPr>
        <w:t>bankaları</w:t>
      </w:r>
      <w:r w:rsidR="00363C08">
        <w:rPr>
          <w:lang w:val="en-US"/>
        </w:rPr>
        <w:t>nın</w:t>
      </w:r>
      <w:proofErr w:type="spellEnd"/>
      <w:r w:rsidR="00363C08">
        <w:rPr>
          <w:lang w:val="en-US"/>
        </w:rPr>
        <w:t xml:space="preserve"> </w:t>
      </w:r>
      <w:proofErr w:type="spellStart"/>
      <w:r w:rsidR="00363C08">
        <w:rPr>
          <w:lang w:val="en-US"/>
        </w:rPr>
        <w:t>yakın</w:t>
      </w:r>
      <w:proofErr w:type="spellEnd"/>
      <w:r w:rsidR="00363C08">
        <w:rPr>
          <w:lang w:val="en-US"/>
        </w:rPr>
        <w:t xml:space="preserve"> </w:t>
      </w:r>
      <w:proofErr w:type="spellStart"/>
      <w:r w:rsidR="00363C08">
        <w:rPr>
          <w:lang w:val="en-US"/>
        </w:rPr>
        <w:t>dönemdeki</w:t>
      </w:r>
      <w:proofErr w:type="spellEnd"/>
      <w:r w:rsidR="00363C08">
        <w:rPr>
          <w:lang w:val="en-US"/>
        </w:rPr>
        <w:t xml:space="preserve"> </w:t>
      </w:r>
      <w:proofErr w:type="spellStart"/>
      <w:r w:rsidR="00363C08">
        <w:rPr>
          <w:lang w:val="en-US"/>
        </w:rPr>
        <w:t>ajandalarınıngirilecek</w:t>
      </w:r>
      <w:proofErr w:type="spellEnd"/>
      <w:r w:rsidR="00363C08">
        <w:rPr>
          <w:lang w:val="en-US"/>
        </w:rPr>
        <w:t xml:space="preserve"> </w:t>
      </w:r>
      <w:proofErr w:type="spellStart"/>
      <w:r w:rsidR="00363C08">
        <w:rPr>
          <w:lang w:val="en-US"/>
        </w:rPr>
        <w:t>ya</w:t>
      </w:r>
      <w:proofErr w:type="spellEnd"/>
      <w:r w:rsidR="00363C08">
        <w:rPr>
          <w:lang w:val="en-US"/>
        </w:rPr>
        <w:t xml:space="preserve"> </w:t>
      </w:r>
      <w:proofErr w:type="spellStart"/>
      <w:r w:rsidR="00363C08">
        <w:rPr>
          <w:lang w:val="en-US"/>
        </w:rPr>
        <w:t>da</w:t>
      </w:r>
      <w:proofErr w:type="spellEnd"/>
      <w:r w:rsidR="00363C08">
        <w:rPr>
          <w:lang w:val="en-US"/>
        </w:rPr>
        <w:t xml:space="preserve"> </w:t>
      </w:r>
      <w:proofErr w:type="spellStart"/>
      <w:r w:rsidR="00363C08">
        <w:rPr>
          <w:lang w:val="en-US"/>
        </w:rPr>
        <w:t>geliştirilecek</w:t>
      </w:r>
      <w:proofErr w:type="spellEnd"/>
      <w:r w:rsidR="00363C08">
        <w:rPr>
          <w:lang w:val="en-US"/>
        </w:rPr>
        <w:t xml:space="preserve"> </w:t>
      </w:r>
      <w:proofErr w:type="spellStart"/>
      <w:r w:rsidR="00363C08">
        <w:rPr>
          <w:lang w:val="en-US"/>
        </w:rPr>
        <w:t>alanlar</w:t>
      </w:r>
      <w:proofErr w:type="spellEnd"/>
      <w:r w:rsidR="00363C08">
        <w:rPr>
          <w:lang w:val="en-US"/>
        </w:rPr>
        <w:t xml:space="preserve"> </w:t>
      </w:r>
      <w:proofErr w:type="spellStart"/>
      <w:r>
        <w:rPr>
          <w:lang w:val="en-US"/>
        </w:rPr>
        <w:t>liste</w:t>
      </w:r>
      <w:r w:rsidR="00363C08">
        <w:rPr>
          <w:lang w:val="en-US"/>
        </w:rPr>
        <w:t>sinde</w:t>
      </w:r>
      <w:proofErr w:type="spellEnd"/>
      <w:r>
        <w:rPr>
          <w:lang w:val="en-US"/>
        </w:rPr>
        <w:t xml:space="preserve"> </w:t>
      </w:r>
      <w:proofErr w:type="spellStart"/>
      <w:r>
        <w:rPr>
          <w:lang w:val="en-US"/>
        </w:rPr>
        <w:t>aşağıdaki</w:t>
      </w:r>
      <w:proofErr w:type="spellEnd"/>
      <w:r>
        <w:rPr>
          <w:lang w:val="en-US"/>
        </w:rPr>
        <w:t xml:space="preserve"> </w:t>
      </w:r>
      <w:proofErr w:type="spellStart"/>
      <w:r>
        <w:rPr>
          <w:lang w:val="en-US"/>
        </w:rPr>
        <w:t>maddeler</w:t>
      </w:r>
      <w:proofErr w:type="spellEnd"/>
      <w:r w:rsidR="00363C08">
        <w:rPr>
          <w:lang w:val="en-US"/>
        </w:rPr>
        <w:t xml:space="preserve"> </w:t>
      </w:r>
      <w:proofErr w:type="spellStart"/>
      <w:r w:rsidR="00363C08">
        <w:rPr>
          <w:lang w:val="en-US"/>
        </w:rPr>
        <w:t>yer</w:t>
      </w:r>
      <w:proofErr w:type="spellEnd"/>
      <w:r w:rsidR="00363C08">
        <w:rPr>
          <w:lang w:val="en-US"/>
        </w:rPr>
        <w:t xml:space="preserve"> </w:t>
      </w:r>
      <w:proofErr w:type="spellStart"/>
      <w:r w:rsidR="00363C08">
        <w:rPr>
          <w:lang w:val="en-US"/>
        </w:rPr>
        <w:t>alacaktır</w:t>
      </w:r>
      <w:proofErr w:type="spellEnd"/>
      <w:r>
        <w:rPr>
          <w:lang w:val="en-US"/>
        </w:rPr>
        <w:t>:</w:t>
      </w:r>
    </w:p>
    <w:p w:rsidR="00E27631" w:rsidRPr="00E27631" w:rsidRDefault="00CE2CF5" w:rsidP="00436E63">
      <w:pPr>
        <w:pStyle w:val="ListParagraph"/>
        <w:numPr>
          <w:ilvl w:val="0"/>
          <w:numId w:val="4"/>
        </w:numPr>
        <w:ind w:left="426" w:hanging="426"/>
        <w:jc w:val="both"/>
        <w:rPr>
          <w:lang w:val="en-US"/>
        </w:rPr>
      </w:pPr>
      <w:r w:rsidRPr="006E6193">
        <w:rPr>
          <w:b/>
          <w:lang w:val="en-US"/>
        </w:rPr>
        <w:t>Yurtiçinde Yaygınlaşma:</w:t>
      </w:r>
      <w:r>
        <w:rPr>
          <w:lang w:val="en-US"/>
        </w:rPr>
        <w:t xml:space="preserve"> Katılım bankalarının yeni şubeler açma yoluyla Türkiye’de nispeten az nüfuz edilmiş bölgelerdeki yaygınlığını artırması beklenmektedir.</w:t>
      </w:r>
    </w:p>
    <w:p w:rsidR="00CE2CF5" w:rsidRPr="00F6631D" w:rsidRDefault="006E6193" w:rsidP="00436E63">
      <w:pPr>
        <w:pStyle w:val="ListParagraph"/>
        <w:numPr>
          <w:ilvl w:val="0"/>
          <w:numId w:val="4"/>
        </w:numPr>
        <w:ind w:left="426" w:hanging="426"/>
        <w:jc w:val="both"/>
        <w:rPr>
          <w:lang w:val="en-US"/>
        </w:rPr>
      </w:pPr>
      <w:r>
        <w:rPr>
          <w:b/>
          <w:lang w:val="en-US"/>
        </w:rPr>
        <w:lastRenderedPageBreak/>
        <w:t>Uzun vadeli finansal kaynak</w:t>
      </w:r>
      <w:r w:rsidR="00CE2CF5">
        <w:rPr>
          <w:b/>
          <w:lang w:val="en-US"/>
        </w:rPr>
        <w:t xml:space="preserve"> sağlama</w:t>
      </w:r>
      <w:r w:rsidR="00CE2CF5" w:rsidRPr="00CE2CF5">
        <w:rPr>
          <w:lang w:val="en-US"/>
        </w:rPr>
        <w:t>:</w:t>
      </w:r>
      <w:r w:rsidR="00CE2CF5">
        <w:rPr>
          <w:lang w:val="en-US"/>
        </w:rPr>
        <w:t xml:space="preserve"> </w:t>
      </w:r>
      <w:r w:rsidR="00363C08">
        <w:rPr>
          <w:lang w:val="en-US"/>
        </w:rPr>
        <w:t xml:space="preserve">Geçen yıl Kuveyt Türk’ün ilk </w:t>
      </w:r>
      <w:proofErr w:type="spellStart"/>
      <w:r w:rsidR="00363C08">
        <w:rPr>
          <w:lang w:val="en-US"/>
        </w:rPr>
        <w:t>sukuk</w:t>
      </w:r>
      <w:proofErr w:type="spellEnd"/>
      <w:r w:rsidR="00363C08">
        <w:rPr>
          <w:lang w:val="en-US"/>
        </w:rPr>
        <w:t xml:space="preserve"> </w:t>
      </w:r>
      <w:proofErr w:type="spellStart"/>
      <w:r w:rsidR="00363C08">
        <w:rPr>
          <w:lang w:val="en-US"/>
        </w:rPr>
        <w:t>ihracının</w:t>
      </w:r>
      <w:proofErr w:type="spellEnd"/>
      <w:r w:rsidR="00363C08">
        <w:rPr>
          <w:lang w:val="en-US"/>
        </w:rPr>
        <w:t xml:space="preserve"> </w:t>
      </w:r>
      <w:proofErr w:type="spellStart"/>
      <w:r w:rsidR="00363C08">
        <w:rPr>
          <w:lang w:val="en-US"/>
        </w:rPr>
        <w:t>ardından</w:t>
      </w:r>
      <w:proofErr w:type="spellEnd"/>
      <w:r w:rsidR="00363C08">
        <w:rPr>
          <w:lang w:val="en-US"/>
        </w:rPr>
        <w:t xml:space="preserve">, </w:t>
      </w:r>
      <w:proofErr w:type="spellStart"/>
      <w:r w:rsidR="00363C08">
        <w:rPr>
          <w:lang w:val="en-US"/>
        </w:rPr>
        <w:t>b</w:t>
      </w:r>
      <w:r w:rsidR="00CE2CF5">
        <w:rPr>
          <w:lang w:val="en-US"/>
        </w:rPr>
        <w:t>ütün</w:t>
      </w:r>
      <w:proofErr w:type="spellEnd"/>
      <w:r w:rsidR="00CE2CF5">
        <w:rPr>
          <w:lang w:val="en-US"/>
        </w:rPr>
        <w:t xml:space="preserve"> </w:t>
      </w:r>
      <w:proofErr w:type="spellStart"/>
      <w:r w:rsidR="00CE2CF5">
        <w:rPr>
          <w:lang w:val="en-US"/>
        </w:rPr>
        <w:t>katılım</w:t>
      </w:r>
      <w:proofErr w:type="spellEnd"/>
      <w:r w:rsidR="00CE2CF5">
        <w:rPr>
          <w:lang w:val="en-US"/>
        </w:rPr>
        <w:t xml:space="preserve"> </w:t>
      </w:r>
      <w:proofErr w:type="spellStart"/>
      <w:r w:rsidR="00CE2CF5">
        <w:rPr>
          <w:lang w:val="en-US"/>
        </w:rPr>
        <w:t>bankalarının</w:t>
      </w:r>
      <w:proofErr w:type="spellEnd"/>
      <w:r w:rsidR="00CE2CF5">
        <w:rPr>
          <w:lang w:val="en-US"/>
        </w:rPr>
        <w:t xml:space="preserve"> </w:t>
      </w:r>
      <w:proofErr w:type="spellStart"/>
      <w:r w:rsidR="00363C08">
        <w:rPr>
          <w:lang w:val="en-US"/>
        </w:rPr>
        <w:t>kaynak</w:t>
      </w:r>
      <w:proofErr w:type="spellEnd"/>
      <w:r w:rsidR="00363C08">
        <w:rPr>
          <w:lang w:val="en-US"/>
        </w:rPr>
        <w:t xml:space="preserve"> </w:t>
      </w:r>
      <w:proofErr w:type="spellStart"/>
      <w:r w:rsidR="00CE2CF5">
        <w:rPr>
          <w:lang w:val="en-US"/>
        </w:rPr>
        <w:t>vadelerini</w:t>
      </w:r>
      <w:proofErr w:type="spellEnd"/>
      <w:r w:rsidR="00CE2CF5">
        <w:rPr>
          <w:lang w:val="en-US"/>
        </w:rPr>
        <w:t xml:space="preserve"> </w:t>
      </w:r>
      <w:proofErr w:type="spellStart"/>
      <w:r w:rsidR="00363C08">
        <w:rPr>
          <w:lang w:val="en-US"/>
        </w:rPr>
        <w:t>uzatmak</w:t>
      </w:r>
      <w:proofErr w:type="spellEnd"/>
      <w:r w:rsidR="00363C08">
        <w:rPr>
          <w:lang w:val="en-US"/>
        </w:rPr>
        <w:t xml:space="preserve"> </w:t>
      </w:r>
      <w:proofErr w:type="spellStart"/>
      <w:r w:rsidR="00CE2CF5">
        <w:rPr>
          <w:lang w:val="en-US"/>
        </w:rPr>
        <w:t>için</w:t>
      </w:r>
      <w:proofErr w:type="spellEnd"/>
      <w:r w:rsidR="00CE2CF5">
        <w:rPr>
          <w:lang w:val="en-US"/>
        </w:rPr>
        <w:t xml:space="preserve"> </w:t>
      </w:r>
      <w:proofErr w:type="spellStart"/>
      <w:r w:rsidR="00CE2CF5">
        <w:rPr>
          <w:lang w:val="en-US"/>
        </w:rPr>
        <w:t>sukuk</w:t>
      </w:r>
      <w:proofErr w:type="spellEnd"/>
      <w:r w:rsidR="00CE2CF5">
        <w:rPr>
          <w:lang w:val="en-US"/>
        </w:rPr>
        <w:t xml:space="preserve"> </w:t>
      </w:r>
      <w:proofErr w:type="spellStart"/>
      <w:r w:rsidR="00CE2CF5">
        <w:rPr>
          <w:lang w:val="en-US"/>
        </w:rPr>
        <w:t>ihracı</w:t>
      </w:r>
      <w:proofErr w:type="spellEnd"/>
      <w:r w:rsidR="00CE2CF5">
        <w:rPr>
          <w:lang w:val="en-US"/>
        </w:rPr>
        <w:t xml:space="preserve"> </w:t>
      </w:r>
      <w:r w:rsidR="00363C08">
        <w:rPr>
          <w:lang w:val="en-US"/>
        </w:rPr>
        <w:t xml:space="preserve">ve benzeri ürünler </w:t>
      </w:r>
      <w:r w:rsidR="00CE2CF5">
        <w:rPr>
          <w:lang w:val="en-US"/>
        </w:rPr>
        <w:t xml:space="preserve">üzerinde çalıştıkları bilinmektedir. </w:t>
      </w:r>
    </w:p>
    <w:p w:rsidR="00436E63" w:rsidRPr="00353D38" w:rsidRDefault="006E6193" w:rsidP="00203302">
      <w:pPr>
        <w:pStyle w:val="ListParagraph"/>
        <w:numPr>
          <w:ilvl w:val="0"/>
          <w:numId w:val="4"/>
        </w:numPr>
        <w:ind w:left="426" w:hanging="426"/>
        <w:jc w:val="both"/>
        <w:rPr>
          <w:lang w:val="en-US"/>
        </w:rPr>
      </w:pPr>
      <w:r>
        <w:rPr>
          <w:b/>
          <w:lang w:val="en-US"/>
        </w:rPr>
        <w:t>Ye</w:t>
      </w:r>
      <w:r w:rsidR="00CE2CF5">
        <w:rPr>
          <w:b/>
          <w:lang w:val="en-US"/>
        </w:rPr>
        <w:t>ni ürün geliştirme:</w:t>
      </w:r>
      <w:r>
        <w:rPr>
          <w:lang w:val="en-US"/>
        </w:rPr>
        <w:t xml:space="preserve"> G</w:t>
      </w:r>
      <w:r w:rsidR="00CE2CF5">
        <w:rPr>
          <w:lang w:val="en-US"/>
        </w:rPr>
        <w:t>eçtiğimiz birkaç yıl içerisinde katılım bankaları se</w:t>
      </w:r>
      <w:r>
        <w:rPr>
          <w:lang w:val="en-US"/>
        </w:rPr>
        <w:t>ndikasyon kredileri, sukuk ihraçları, İslami borsa yatırım fonları, gelire endeksli senetler</w:t>
      </w:r>
      <w:r w:rsidR="00CE2CF5" w:rsidRPr="00F6631D">
        <w:rPr>
          <w:lang w:val="en-US"/>
        </w:rPr>
        <w:t xml:space="preserve">, pay-pass </w:t>
      </w:r>
      <w:r>
        <w:rPr>
          <w:lang w:val="en-US"/>
        </w:rPr>
        <w:t>kredi kartları</w:t>
      </w:r>
      <w:r w:rsidR="00CE2CF5" w:rsidRPr="00F6631D">
        <w:rPr>
          <w:lang w:val="en-US"/>
        </w:rPr>
        <w:t xml:space="preserve">, city </w:t>
      </w:r>
      <w:r w:rsidR="00D0669E">
        <w:rPr>
          <w:lang w:val="en-US"/>
        </w:rPr>
        <w:t>kartlar</w:t>
      </w:r>
      <w:r w:rsidR="00CE2CF5" w:rsidRPr="00F6631D">
        <w:rPr>
          <w:lang w:val="en-US"/>
        </w:rPr>
        <w:t xml:space="preserve"> </w:t>
      </w:r>
      <w:r w:rsidR="00CE2CF5">
        <w:rPr>
          <w:lang w:val="en-US"/>
        </w:rPr>
        <w:t>gibi İslami kurallara uygun bazı yeni ürün ve</w:t>
      </w:r>
      <w:r w:rsidR="00D0669E">
        <w:rPr>
          <w:lang w:val="en-US"/>
        </w:rPr>
        <w:t xml:space="preserve"> hizmetleri piyasaya sundular. G</w:t>
      </w:r>
      <w:r w:rsidR="00CE2CF5">
        <w:rPr>
          <w:lang w:val="en-US"/>
        </w:rPr>
        <w:t xml:space="preserve">elecekte İMKB’de kayıtlı Katılım indeksi çıkararak, kiralama sertifikalarına dayalı </w:t>
      </w:r>
      <w:r w:rsidR="00D0669E">
        <w:rPr>
          <w:lang w:val="en-US"/>
        </w:rPr>
        <w:t>senetler</w:t>
      </w:r>
      <w:r w:rsidR="00CE2CF5">
        <w:rPr>
          <w:lang w:val="en-US"/>
        </w:rPr>
        <w:t xml:space="preserve"> geliştirerek bu ürünleri daha da geliştirmelidirler.  </w:t>
      </w:r>
    </w:p>
    <w:p w:rsidR="00CE2CF5" w:rsidRDefault="006B1924" w:rsidP="00436E63">
      <w:pPr>
        <w:pStyle w:val="ListParagraph"/>
        <w:numPr>
          <w:ilvl w:val="0"/>
          <w:numId w:val="4"/>
        </w:numPr>
        <w:ind w:left="426" w:hanging="426"/>
        <w:jc w:val="both"/>
        <w:rPr>
          <w:b/>
          <w:lang w:val="en-US"/>
        </w:rPr>
      </w:pPr>
      <w:r>
        <w:rPr>
          <w:b/>
          <w:lang w:val="en-US"/>
        </w:rPr>
        <w:t>Ya</w:t>
      </w:r>
      <w:r w:rsidR="00CE2CF5">
        <w:rPr>
          <w:b/>
          <w:lang w:val="en-US"/>
        </w:rPr>
        <w:t>tırım bankacılığı ve proje geliştirme konularında uzmanlık</w:t>
      </w:r>
    </w:p>
    <w:p w:rsidR="00CE2CF5" w:rsidRPr="00F6631D" w:rsidRDefault="00CE2CF5" w:rsidP="00436E63">
      <w:pPr>
        <w:pStyle w:val="ListParagraph"/>
        <w:numPr>
          <w:ilvl w:val="0"/>
          <w:numId w:val="4"/>
        </w:numPr>
        <w:ind w:left="426" w:hanging="426"/>
        <w:jc w:val="both"/>
        <w:rPr>
          <w:b/>
          <w:lang w:val="en-US"/>
        </w:rPr>
      </w:pPr>
      <w:r>
        <w:rPr>
          <w:b/>
          <w:lang w:val="en-US"/>
        </w:rPr>
        <w:t>KOBİ sektöründeki varlığını güçlendirme</w:t>
      </w:r>
    </w:p>
    <w:p w:rsidR="00CE2CF5" w:rsidRPr="00F6631D" w:rsidRDefault="00CE2CF5" w:rsidP="00436E63">
      <w:pPr>
        <w:pStyle w:val="ListParagraph"/>
        <w:numPr>
          <w:ilvl w:val="0"/>
          <w:numId w:val="4"/>
        </w:numPr>
        <w:ind w:left="426" w:hanging="426"/>
        <w:jc w:val="both"/>
        <w:rPr>
          <w:b/>
          <w:lang w:val="en-US"/>
        </w:rPr>
      </w:pPr>
      <w:r>
        <w:rPr>
          <w:b/>
          <w:lang w:val="en-US"/>
        </w:rPr>
        <w:t>İnsan kaynakları ve teknolojik altyapıya daha fazla yatırım</w:t>
      </w:r>
    </w:p>
    <w:p w:rsidR="00CE2CF5" w:rsidRPr="00F6631D" w:rsidRDefault="004769A2" w:rsidP="00436E63">
      <w:pPr>
        <w:pStyle w:val="ListParagraph"/>
        <w:numPr>
          <w:ilvl w:val="0"/>
          <w:numId w:val="4"/>
        </w:numPr>
        <w:ind w:left="426" w:hanging="426"/>
        <w:jc w:val="both"/>
        <w:rPr>
          <w:b/>
          <w:lang w:val="en-US"/>
        </w:rPr>
      </w:pPr>
      <w:r>
        <w:rPr>
          <w:b/>
          <w:lang w:val="en-US"/>
        </w:rPr>
        <w:t xml:space="preserve">Yeni kaynaklar ve daha fazla karlılık </w:t>
      </w:r>
      <w:r w:rsidR="006B1924">
        <w:rPr>
          <w:b/>
          <w:lang w:val="en-US"/>
        </w:rPr>
        <w:t>amacıyla</w:t>
      </w:r>
      <w:r>
        <w:rPr>
          <w:b/>
          <w:lang w:val="en-US"/>
        </w:rPr>
        <w:t xml:space="preserve"> yeni piyasalara ulaşmaya yönelik yurtdışı ağında genişleme</w:t>
      </w:r>
    </w:p>
    <w:p w:rsidR="00436E63" w:rsidRDefault="00436E63" w:rsidP="00436E63">
      <w:pPr>
        <w:spacing w:after="0"/>
        <w:jc w:val="both"/>
        <w:rPr>
          <w:b/>
          <w:lang w:val="en-US"/>
        </w:rPr>
      </w:pPr>
    </w:p>
    <w:p w:rsidR="004769A2" w:rsidRDefault="004769A2" w:rsidP="00436E63">
      <w:pPr>
        <w:spacing w:after="0"/>
        <w:jc w:val="both"/>
        <w:rPr>
          <w:b/>
          <w:lang w:val="en-US"/>
        </w:rPr>
      </w:pPr>
      <w:r>
        <w:rPr>
          <w:b/>
          <w:lang w:val="en-US"/>
        </w:rPr>
        <w:t>SONUÇ</w:t>
      </w:r>
    </w:p>
    <w:p w:rsidR="004769A2" w:rsidRDefault="004769A2" w:rsidP="00436E63">
      <w:pPr>
        <w:spacing w:after="0"/>
        <w:jc w:val="both"/>
        <w:rPr>
          <w:lang w:val="en-US"/>
        </w:rPr>
      </w:pPr>
    </w:p>
    <w:p w:rsidR="004769A2" w:rsidRDefault="004769A2" w:rsidP="00436E63">
      <w:pPr>
        <w:spacing w:after="0"/>
        <w:jc w:val="both"/>
        <w:rPr>
          <w:lang w:val="en-US"/>
        </w:rPr>
      </w:pPr>
      <w:r>
        <w:rPr>
          <w:lang w:val="en-US"/>
        </w:rPr>
        <w:t xml:space="preserve">Türkiye’de katılım bankacılığının potansiyel hacmi ile ilgili kesin bir rakam vermek mümkün olmasa da </w:t>
      </w:r>
      <w:r w:rsidR="00E33E30">
        <w:rPr>
          <w:lang w:val="en-US"/>
        </w:rPr>
        <w:t>katılım bankalarının en azından daha muhafazakar mevduat tabanına bağlı olarak piyasa paylarını artırmaya d</w:t>
      </w:r>
      <w:r w:rsidR="006B1924">
        <w:rPr>
          <w:lang w:val="en-US"/>
        </w:rPr>
        <w:t>evam edecekleri görülmektedir. K</w:t>
      </w:r>
      <w:r w:rsidR="00E33E30">
        <w:rPr>
          <w:lang w:val="en-US"/>
        </w:rPr>
        <w:t>atılım bankacılığı sektörü geçtiğimiz yıllar</w:t>
      </w:r>
      <w:r w:rsidR="006B1924">
        <w:rPr>
          <w:lang w:val="en-US"/>
        </w:rPr>
        <w:t>da Türk bankacılık sisteminden d</w:t>
      </w:r>
      <w:r w:rsidR="00E33E30">
        <w:rPr>
          <w:lang w:val="en-US"/>
        </w:rPr>
        <w:t xml:space="preserve">aha hızlı büyümüş </w:t>
      </w:r>
      <w:proofErr w:type="spellStart"/>
      <w:proofErr w:type="gramStart"/>
      <w:r w:rsidR="00E33E30">
        <w:rPr>
          <w:lang w:val="en-US"/>
        </w:rPr>
        <w:t>ve</w:t>
      </w:r>
      <w:proofErr w:type="spellEnd"/>
      <w:r w:rsidR="00E33E30">
        <w:rPr>
          <w:lang w:val="en-US"/>
        </w:rPr>
        <w:t xml:space="preserve"> </w:t>
      </w:r>
      <w:r w:rsidR="00363C08">
        <w:rPr>
          <w:lang w:val="en-US"/>
        </w:rPr>
        <w:t xml:space="preserve"> </w:t>
      </w:r>
      <w:proofErr w:type="spellStart"/>
      <w:r w:rsidR="00363C08">
        <w:rPr>
          <w:lang w:val="en-US"/>
        </w:rPr>
        <w:t>pek</w:t>
      </w:r>
      <w:proofErr w:type="spellEnd"/>
      <w:proofErr w:type="gramEnd"/>
      <w:r w:rsidR="00363C08">
        <w:rPr>
          <w:lang w:val="en-US"/>
        </w:rPr>
        <w:t xml:space="preserve"> </w:t>
      </w:r>
      <w:proofErr w:type="spellStart"/>
      <w:r w:rsidR="00363C08">
        <w:rPr>
          <w:lang w:val="en-US"/>
        </w:rPr>
        <w:t>çok</w:t>
      </w:r>
      <w:proofErr w:type="spellEnd"/>
      <w:r w:rsidR="00363C08">
        <w:rPr>
          <w:lang w:val="en-US"/>
        </w:rPr>
        <w:t xml:space="preserve"> </w:t>
      </w:r>
      <w:proofErr w:type="spellStart"/>
      <w:r w:rsidR="00363C08">
        <w:rPr>
          <w:lang w:val="en-US"/>
        </w:rPr>
        <w:t>kalemde</w:t>
      </w:r>
      <w:proofErr w:type="spellEnd"/>
      <w:r w:rsidR="00E33E30">
        <w:rPr>
          <w:lang w:val="en-US"/>
        </w:rPr>
        <w:t xml:space="preserve"> </w:t>
      </w:r>
      <w:proofErr w:type="spellStart"/>
      <w:r w:rsidR="00E33E30">
        <w:rPr>
          <w:lang w:val="en-US"/>
        </w:rPr>
        <w:t>istikrarlı</w:t>
      </w:r>
      <w:proofErr w:type="spellEnd"/>
      <w:r w:rsidR="00E33E30">
        <w:rPr>
          <w:lang w:val="en-US"/>
        </w:rPr>
        <w:t xml:space="preserve"> </w:t>
      </w:r>
      <w:proofErr w:type="spellStart"/>
      <w:r w:rsidR="00E33E30">
        <w:rPr>
          <w:lang w:val="en-US"/>
        </w:rPr>
        <w:t>bir</w:t>
      </w:r>
      <w:proofErr w:type="spellEnd"/>
      <w:r w:rsidR="00E33E30">
        <w:rPr>
          <w:lang w:val="en-US"/>
        </w:rPr>
        <w:t xml:space="preserve"> </w:t>
      </w:r>
      <w:proofErr w:type="spellStart"/>
      <w:r w:rsidR="00363C08">
        <w:rPr>
          <w:lang w:val="en-US"/>
        </w:rPr>
        <w:t>gelişme</w:t>
      </w:r>
      <w:proofErr w:type="spellEnd"/>
      <w:r w:rsidR="00363C08">
        <w:rPr>
          <w:lang w:val="en-US"/>
        </w:rPr>
        <w:t xml:space="preserve"> </w:t>
      </w:r>
      <w:r w:rsidR="00E33E30">
        <w:rPr>
          <w:lang w:val="en-US"/>
        </w:rPr>
        <w:t>göstermiş olsa da  katılım bankaları</w:t>
      </w:r>
      <w:r w:rsidR="00363C08">
        <w:rPr>
          <w:lang w:val="en-US"/>
        </w:rPr>
        <w:t>nın</w:t>
      </w:r>
      <w:r w:rsidR="00E33E30">
        <w:rPr>
          <w:lang w:val="en-US"/>
        </w:rPr>
        <w:t xml:space="preserve"> görece olarak </w:t>
      </w:r>
      <w:r w:rsidR="001E6B7C">
        <w:rPr>
          <w:lang w:val="en-US"/>
        </w:rPr>
        <w:t xml:space="preserve">hala </w:t>
      </w:r>
      <w:proofErr w:type="spellStart"/>
      <w:r w:rsidR="001E6B7C">
        <w:rPr>
          <w:lang w:val="en-US"/>
        </w:rPr>
        <w:t>oldukça</w:t>
      </w:r>
      <w:proofErr w:type="spellEnd"/>
      <w:r w:rsidR="001E6B7C">
        <w:rPr>
          <w:lang w:val="en-US"/>
        </w:rPr>
        <w:t xml:space="preserve"> </w:t>
      </w:r>
      <w:proofErr w:type="spellStart"/>
      <w:r w:rsidR="001E6B7C">
        <w:rPr>
          <w:lang w:val="en-US"/>
        </w:rPr>
        <w:t>küçük</w:t>
      </w:r>
      <w:proofErr w:type="spellEnd"/>
      <w:r w:rsidR="00363C08">
        <w:rPr>
          <w:lang w:val="en-US"/>
        </w:rPr>
        <w:t xml:space="preserve"> </w:t>
      </w:r>
      <w:proofErr w:type="spellStart"/>
      <w:r w:rsidR="00363C08">
        <w:rPr>
          <w:lang w:val="en-US"/>
        </w:rPr>
        <w:t>oldukları</w:t>
      </w:r>
      <w:proofErr w:type="spellEnd"/>
      <w:r w:rsidR="00363C08">
        <w:rPr>
          <w:lang w:val="en-US"/>
        </w:rPr>
        <w:t xml:space="preserve"> </w:t>
      </w:r>
      <w:proofErr w:type="spellStart"/>
      <w:r w:rsidR="00363C08">
        <w:rPr>
          <w:lang w:val="en-US"/>
        </w:rPr>
        <w:t>düşünülmektedir</w:t>
      </w:r>
      <w:proofErr w:type="spellEnd"/>
      <w:r w:rsidR="00363C08">
        <w:rPr>
          <w:lang w:val="en-US"/>
        </w:rPr>
        <w:t>.</w:t>
      </w:r>
    </w:p>
    <w:p w:rsidR="00436E63" w:rsidRDefault="00436E63" w:rsidP="00436E63">
      <w:pPr>
        <w:spacing w:after="0"/>
        <w:jc w:val="both"/>
        <w:rPr>
          <w:lang w:val="en-US"/>
        </w:rPr>
      </w:pPr>
    </w:p>
    <w:p w:rsidR="00E33E30" w:rsidRDefault="00E33E30" w:rsidP="00436E63">
      <w:pPr>
        <w:spacing w:after="0"/>
        <w:jc w:val="both"/>
        <w:rPr>
          <w:lang w:val="en-US"/>
        </w:rPr>
      </w:pPr>
      <w:r>
        <w:rPr>
          <w:lang w:val="en-US"/>
        </w:rPr>
        <w:t xml:space="preserve">Özetle, Türkiye’de faizsiz bankacılık niş bir alan ve Suudi Arabistan, Kuveyt </w:t>
      </w:r>
      <w:proofErr w:type="spellStart"/>
      <w:r>
        <w:rPr>
          <w:lang w:val="en-US"/>
        </w:rPr>
        <w:t>ve</w:t>
      </w:r>
      <w:proofErr w:type="spellEnd"/>
      <w:r>
        <w:rPr>
          <w:lang w:val="en-US"/>
        </w:rPr>
        <w:t xml:space="preserve"> </w:t>
      </w:r>
      <w:proofErr w:type="spellStart"/>
      <w:r>
        <w:rPr>
          <w:lang w:val="en-US"/>
        </w:rPr>
        <w:t>Malezya</w:t>
      </w:r>
      <w:proofErr w:type="spellEnd"/>
      <w:r>
        <w:rPr>
          <w:lang w:val="en-US"/>
        </w:rPr>
        <w:t xml:space="preserve"> </w:t>
      </w:r>
      <w:proofErr w:type="spellStart"/>
      <w:r>
        <w:rPr>
          <w:lang w:val="en-US"/>
        </w:rPr>
        <w:t>gibi</w:t>
      </w:r>
      <w:proofErr w:type="spellEnd"/>
      <w:r>
        <w:rPr>
          <w:lang w:val="en-US"/>
        </w:rPr>
        <w:t xml:space="preserve"> </w:t>
      </w:r>
      <w:proofErr w:type="spellStart"/>
      <w:r>
        <w:rPr>
          <w:lang w:val="en-US"/>
        </w:rPr>
        <w:t>İslami</w:t>
      </w:r>
      <w:proofErr w:type="spellEnd"/>
      <w:r>
        <w:rPr>
          <w:lang w:val="en-US"/>
        </w:rPr>
        <w:t xml:space="preserve"> </w:t>
      </w:r>
      <w:proofErr w:type="spellStart"/>
      <w:r>
        <w:rPr>
          <w:lang w:val="en-US"/>
        </w:rPr>
        <w:t>bankacılı</w:t>
      </w:r>
      <w:r w:rsidR="007C3CF2">
        <w:rPr>
          <w:lang w:val="en-US"/>
        </w:rPr>
        <w:t>ğın</w:t>
      </w:r>
      <w:proofErr w:type="spellEnd"/>
      <w:r w:rsidR="007C3CF2">
        <w:rPr>
          <w:lang w:val="en-US"/>
        </w:rPr>
        <w:t xml:space="preserve"> </w:t>
      </w:r>
      <w:proofErr w:type="spellStart"/>
      <w:r w:rsidR="007C3CF2">
        <w:rPr>
          <w:lang w:val="en-US"/>
        </w:rPr>
        <w:t>ileri</w:t>
      </w:r>
      <w:proofErr w:type="spellEnd"/>
      <w:r w:rsidR="007C3CF2">
        <w:rPr>
          <w:lang w:val="en-US"/>
        </w:rPr>
        <w:t xml:space="preserve"> </w:t>
      </w:r>
      <w:proofErr w:type="spellStart"/>
      <w:r w:rsidR="007C3CF2">
        <w:rPr>
          <w:lang w:val="en-US"/>
        </w:rPr>
        <w:t>seviyede</w:t>
      </w:r>
      <w:proofErr w:type="spellEnd"/>
      <w:r w:rsidR="007C3CF2">
        <w:rPr>
          <w:lang w:val="en-US"/>
        </w:rPr>
        <w:t xml:space="preserve"> </w:t>
      </w:r>
      <w:proofErr w:type="spellStart"/>
      <w:r w:rsidR="007C3CF2">
        <w:rPr>
          <w:lang w:val="en-US"/>
        </w:rPr>
        <w:t>olduğu</w:t>
      </w:r>
      <w:proofErr w:type="spellEnd"/>
      <w:r>
        <w:rPr>
          <w:lang w:val="en-US"/>
        </w:rPr>
        <w:t xml:space="preserve"> </w:t>
      </w:r>
      <w:proofErr w:type="spellStart"/>
      <w:r>
        <w:rPr>
          <w:lang w:val="en-US"/>
        </w:rPr>
        <w:t>ülkelerdeki</w:t>
      </w:r>
      <w:proofErr w:type="spellEnd"/>
      <w:r>
        <w:rPr>
          <w:lang w:val="en-US"/>
        </w:rPr>
        <w:t xml:space="preserve"> </w:t>
      </w:r>
      <w:proofErr w:type="spellStart"/>
      <w:r>
        <w:rPr>
          <w:lang w:val="en-US"/>
        </w:rPr>
        <w:t>kadar</w:t>
      </w:r>
      <w:proofErr w:type="spellEnd"/>
      <w:r>
        <w:rPr>
          <w:lang w:val="en-US"/>
        </w:rPr>
        <w:t xml:space="preserve"> </w:t>
      </w:r>
      <w:proofErr w:type="spellStart"/>
      <w:proofErr w:type="gramStart"/>
      <w:r w:rsidR="007C3CF2">
        <w:rPr>
          <w:lang w:val="en-US"/>
        </w:rPr>
        <w:t>pazar</w:t>
      </w:r>
      <w:proofErr w:type="spellEnd"/>
      <w:r w:rsidR="007C3CF2">
        <w:rPr>
          <w:lang w:val="en-US"/>
        </w:rPr>
        <w:t xml:space="preserve"> </w:t>
      </w:r>
      <w:r w:rsidR="00FE57F1">
        <w:rPr>
          <w:lang w:val="en-US"/>
        </w:rPr>
        <w:t xml:space="preserve"> </w:t>
      </w:r>
      <w:proofErr w:type="spellStart"/>
      <w:r w:rsidR="00FE57F1">
        <w:rPr>
          <w:lang w:val="en-US"/>
        </w:rPr>
        <w:t>payına</w:t>
      </w:r>
      <w:proofErr w:type="spellEnd"/>
      <w:proofErr w:type="gramEnd"/>
      <w:r w:rsidR="00FE57F1">
        <w:rPr>
          <w:lang w:val="en-US"/>
        </w:rPr>
        <w:t xml:space="preserve"> </w:t>
      </w:r>
      <w:proofErr w:type="spellStart"/>
      <w:r w:rsidR="00FE57F1">
        <w:rPr>
          <w:lang w:val="en-US"/>
        </w:rPr>
        <w:t>sahip</w:t>
      </w:r>
      <w:proofErr w:type="spellEnd"/>
      <w:r w:rsidR="00FE57F1">
        <w:rPr>
          <w:lang w:val="en-US"/>
        </w:rPr>
        <w:t xml:space="preserve"> </w:t>
      </w:r>
      <w:proofErr w:type="spellStart"/>
      <w:r w:rsidR="00FE57F1">
        <w:rPr>
          <w:lang w:val="en-US"/>
        </w:rPr>
        <w:t>olabilmek</w:t>
      </w:r>
      <w:proofErr w:type="spellEnd"/>
      <w:r w:rsidR="00FE57F1">
        <w:rPr>
          <w:lang w:val="en-US"/>
        </w:rPr>
        <w:t xml:space="preserve"> için gidecek daha </w:t>
      </w:r>
      <w:r w:rsidR="008C0590">
        <w:rPr>
          <w:lang w:val="en-US"/>
        </w:rPr>
        <w:t>çok</w:t>
      </w:r>
      <w:r w:rsidR="00FE57F1">
        <w:rPr>
          <w:lang w:val="en-US"/>
        </w:rPr>
        <w:t xml:space="preserve"> </w:t>
      </w:r>
      <w:r w:rsidR="008C0590">
        <w:rPr>
          <w:lang w:val="en-US"/>
        </w:rPr>
        <w:t>yol</w:t>
      </w:r>
      <w:r w:rsidR="00FE57F1">
        <w:rPr>
          <w:lang w:val="en-US"/>
        </w:rPr>
        <w:t xml:space="preserve"> vardır. </w:t>
      </w:r>
    </w:p>
    <w:p w:rsidR="009731B3" w:rsidRDefault="009731B3" w:rsidP="007D3A1E">
      <w:pPr>
        <w:rPr>
          <w:rFonts w:ascii="Verdana" w:hAnsi="Verdana"/>
          <w:sz w:val="20"/>
          <w:szCs w:val="20"/>
          <w:lang w:val="en-US"/>
        </w:rPr>
      </w:pPr>
    </w:p>
    <w:p w:rsidR="00137632" w:rsidRPr="00436E63" w:rsidRDefault="008C0CAE" w:rsidP="001F70D8">
      <w:pPr>
        <w:pBdr>
          <w:top w:val="single" w:sz="4" w:space="1" w:color="auto"/>
          <w:left w:val="single" w:sz="4" w:space="4" w:color="auto"/>
          <w:bottom w:val="single" w:sz="4" w:space="1" w:color="auto"/>
          <w:right w:val="single" w:sz="4" w:space="4" w:color="auto"/>
        </w:pBdr>
        <w:rPr>
          <w:i/>
          <w:lang w:val="en-US"/>
        </w:rPr>
      </w:pPr>
      <w:r>
        <w:rPr>
          <w:b/>
          <w:lang w:val="en-US"/>
        </w:rPr>
        <w:t xml:space="preserve">NOT: </w:t>
      </w:r>
      <w:r w:rsidRPr="008C0CAE">
        <w:rPr>
          <w:lang w:val="en-US"/>
        </w:rPr>
        <w:t>Elinizdeki makalede tüm rasyolar TL baz alınarak hesaplanmıştır.</w:t>
      </w:r>
      <w:r>
        <w:rPr>
          <w:b/>
          <w:lang w:val="en-US"/>
        </w:rPr>
        <w:t xml:space="preserve"> </w:t>
      </w:r>
    </w:p>
    <w:p w:rsidR="00EB71B4" w:rsidRPr="00137632" w:rsidRDefault="00EB71B4" w:rsidP="007D3A1E">
      <w:pPr>
        <w:rPr>
          <w:rFonts w:ascii="Verdana" w:hAnsi="Verdana"/>
          <w:color w:val="FF0000"/>
          <w:sz w:val="20"/>
          <w:szCs w:val="20"/>
          <w:lang w:val="en-US"/>
        </w:rPr>
      </w:pPr>
    </w:p>
    <w:p w:rsidR="00137632" w:rsidRDefault="008C0CAE" w:rsidP="00137632">
      <w:pPr>
        <w:rPr>
          <w:b/>
          <w:noProof/>
        </w:rPr>
      </w:pPr>
      <w:r>
        <w:rPr>
          <w:b/>
          <w:noProof/>
        </w:rPr>
        <w:t>Ahmet BİÇ</w:t>
      </w:r>
      <w:r w:rsidR="00137632" w:rsidRPr="00436E63">
        <w:rPr>
          <w:b/>
          <w:noProof/>
        </w:rPr>
        <w:t xml:space="preserve">ER, </w:t>
      </w:r>
    </w:p>
    <w:p w:rsidR="007C3CF2" w:rsidRPr="007C3CF2" w:rsidRDefault="009A479F" w:rsidP="00137632">
      <w:pPr>
        <w:rPr>
          <w:i/>
          <w:noProof/>
        </w:rPr>
      </w:pPr>
      <w:r w:rsidRPr="009A479F">
        <w:rPr>
          <w:i/>
          <w:noProof/>
        </w:rPr>
        <w:t>Körfez Bölge Koordinatörü</w:t>
      </w:r>
    </w:p>
    <w:p w:rsidR="00137632" w:rsidRPr="00436E63" w:rsidRDefault="008C0CAE" w:rsidP="00137632">
      <w:pPr>
        <w:rPr>
          <w:i/>
          <w:noProof/>
        </w:rPr>
      </w:pPr>
      <w:r>
        <w:rPr>
          <w:i/>
          <w:noProof/>
        </w:rPr>
        <w:t>Yurtdışı Organizasyon ve Yatırımcı İlişkileri Müdürü</w:t>
      </w:r>
    </w:p>
    <w:p w:rsidR="00137632" w:rsidRDefault="008C0CAE" w:rsidP="00137632">
      <w:pPr>
        <w:rPr>
          <w:b/>
          <w:i/>
          <w:noProof/>
        </w:rPr>
      </w:pPr>
      <w:r>
        <w:rPr>
          <w:b/>
          <w:i/>
          <w:noProof/>
        </w:rPr>
        <w:t>Kuveyt Türk Katılım Bankası A.Ş.</w:t>
      </w:r>
    </w:p>
    <w:p w:rsidR="00436E63" w:rsidRDefault="00436E63" w:rsidP="00137632">
      <w:pPr>
        <w:rPr>
          <w:b/>
          <w:i/>
          <w:noProof/>
        </w:rPr>
      </w:pPr>
    </w:p>
    <w:p w:rsidR="00137632" w:rsidRPr="00436E63" w:rsidRDefault="00137632" w:rsidP="00137632">
      <w:pPr>
        <w:rPr>
          <w:noProof/>
        </w:rPr>
      </w:pPr>
    </w:p>
    <w:p w:rsidR="00203302" w:rsidRPr="00203302" w:rsidRDefault="00203302" w:rsidP="00203302">
      <w:pPr>
        <w:rPr>
          <w:i/>
          <w:noProof/>
        </w:rPr>
      </w:pPr>
      <w:r>
        <w:rPr>
          <w:b/>
          <w:i/>
          <w:noProof/>
          <w:u w:val="single"/>
        </w:rPr>
        <w:t>Kaynaklar:</w:t>
      </w:r>
    </w:p>
    <w:p w:rsidR="00203302" w:rsidRPr="00203302" w:rsidRDefault="00203302" w:rsidP="00203302">
      <w:pPr>
        <w:numPr>
          <w:ilvl w:val="0"/>
          <w:numId w:val="7"/>
        </w:numPr>
        <w:rPr>
          <w:i/>
          <w:noProof/>
        </w:rPr>
      </w:pPr>
      <w:r w:rsidRPr="00203302">
        <w:rPr>
          <w:i/>
          <w:noProof/>
        </w:rPr>
        <w:t>Bankacılık Düzenleme ve Denetleme Kurulu</w:t>
      </w:r>
      <w:bookmarkStart w:id="0" w:name="_GoBack"/>
      <w:bookmarkEnd w:id="0"/>
    </w:p>
    <w:p w:rsidR="008211A0" w:rsidRDefault="00203302" w:rsidP="008211A0">
      <w:pPr>
        <w:numPr>
          <w:ilvl w:val="0"/>
          <w:numId w:val="7"/>
        </w:numPr>
        <w:rPr>
          <w:i/>
          <w:noProof/>
        </w:rPr>
      </w:pPr>
      <w:r>
        <w:rPr>
          <w:i/>
          <w:noProof/>
        </w:rPr>
        <w:t>Türkiye Bankalar Birliği</w:t>
      </w:r>
      <w:r w:rsidR="008211A0">
        <w:rPr>
          <w:i/>
          <w:noProof/>
        </w:rPr>
        <w:t xml:space="preserve"> </w:t>
      </w:r>
    </w:p>
    <w:p w:rsidR="00203302" w:rsidRDefault="00203302" w:rsidP="008211A0">
      <w:pPr>
        <w:numPr>
          <w:ilvl w:val="0"/>
          <w:numId w:val="7"/>
        </w:numPr>
        <w:rPr>
          <w:i/>
          <w:noProof/>
        </w:rPr>
      </w:pPr>
      <w:r>
        <w:rPr>
          <w:i/>
          <w:noProof/>
        </w:rPr>
        <w:t xml:space="preserve">Türkiye Katılım Bankaları Birliği </w:t>
      </w:r>
    </w:p>
    <w:p w:rsidR="00EB71B4" w:rsidRPr="005140FD" w:rsidRDefault="00EB71B4" w:rsidP="00137632">
      <w:pPr>
        <w:rPr>
          <w:rFonts w:ascii="Verdana" w:hAnsi="Verdana"/>
          <w:sz w:val="20"/>
          <w:szCs w:val="20"/>
          <w:lang w:val="en-US"/>
        </w:rPr>
      </w:pPr>
    </w:p>
    <w:sectPr w:rsidR="00EB71B4" w:rsidRPr="005140FD" w:rsidSect="007D3A1E">
      <w:pgSz w:w="11906" w:h="16838"/>
      <w:pgMar w:top="851"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BBF" w:rsidRDefault="00EA6BBF" w:rsidP="00A84898">
      <w:pPr>
        <w:spacing w:after="0" w:line="240" w:lineRule="auto"/>
      </w:pPr>
      <w:r>
        <w:separator/>
      </w:r>
    </w:p>
  </w:endnote>
  <w:endnote w:type="continuationSeparator" w:id="0">
    <w:p w:rsidR="00EA6BBF" w:rsidRDefault="00EA6BBF" w:rsidP="00A84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Garamond">
    <w:panose1 w:val="02020404030301010803"/>
    <w:charset w:val="A2"/>
    <w:family w:val="roman"/>
    <w:pitch w:val="variable"/>
    <w:sig w:usb0="00000287" w:usb1="00000000" w:usb2="00000000" w:usb3="00000000" w:csb0="0000009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BBF" w:rsidRDefault="00EA6BBF" w:rsidP="00A84898">
      <w:pPr>
        <w:spacing w:after="0" w:line="240" w:lineRule="auto"/>
      </w:pPr>
      <w:r>
        <w:separator/>
      </w:r>
    </w:p>
  </w:footnote>
  <w:footnote w:type="continuationSeparator" w:id="0">
    <w:p w:rsidR="00EA6BBF" w:rsidRDefault="00EA6BBF" w:rsidP="00A84898">
      <w:pPr>
        <w:spacing w:after="0" w:line="240" w:lineRule="auto"/>
      </w:pPr>
      <w:r>
        <w:continuationSeparator/>
      </w:r>
    </w:p>
  </w:footnote>
  <w:footnote w:id="1">
    <w:p w:rsidR="00A84898" w:rsidRDefault="00A84898">
      <w:pPr>
        <w:pStyle w:val="FootnoteText"/>
      </w:pPr>
      <w:r>
        <w:rPr>
          <w:rStyle w:val="FootnoteReference"/>
        </w:rPr>
        <w:footnoteRef/>
      </w:r>
      <w:r>
        <w:t xml:space="preserve"> </w:t>
      </w:r>
      <w:r>
        <w:rPr>
          <w:lang w:val="en-US"/>
        </w:rPr>
        <w:t>2010’da katılım bankalarının mevduatlarına oranla finansman oranı %93 iken bu oran konva</w:t>
      </w:r>
      <w:r w:rsidR="006E6193">
        <w:rPr>
          <w:lang w:val="en-US"/>
        </w:rPr>
        <w:t>nsiyonel bankalar için %82’dir.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45F2E"/>
    <w:multiLevelType w:val="hybridMultilevel"/>
    <w:tmpl w:val="60A4DFF2"/>
    <w:lvl w:ilvl="0" w:tplc="041F0001">
      <w:start w:val="1"/>
      <w:numFmt w:val="bullet"/>
      <w:lvlText w:val=""/>
      <w:lvlJc w:val="left"/>
      <w:pPr>
        <w:ind w:left="1425" w:hanging="360"/>
      </w:pPr>
      <w:rPr>
        <w:rFonts w:ascii="Symbol" w:hAnsi="Symbol" w:hint="default"/>
      </w:rPr>
    </w:lvl>
    <w:lvl w:ilvl="1" w:tplc="041F0003">
      <w:start w:val="1"/>
      <w:numFmt w:val="bullet"/>
      <w:lvlText w:val="o"/>
      <w:lvlJc w:val="left"/>
      <w:pPr>
        <w:ind w:left="2145" w:hanging="360"/>
      </w:pPr>
      <w:rPr>
        <w:rFonts w:ascii="Courier New" w:hAnsi="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hint="default"/>
      </w:rPr>
    </w:lvl>
    <w:lvl w:ilvl="8" w:tplc="041F0005">
      <w:start w:val="1"/>
      <w:numFmt w:val="bullet"/>
      <w:lvlText w:val=""/>
      <w:lvlJc w:val="left"/>
      <w:pPr>
        <w:ind w:left="7185" w:hanging="360"/>
      </w:pPr>
      <w:rPr>
        <w:rFonts w:ascii="Wingdings" w:hAnsi="Wingdings" w:hint="default"/>
      </w:rPr>
    </w:lvl>
  </w:abstractNum>
  <w:abstractNum w:abstractNumId="1">
    <w:nsid w:val="472C19B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nsid w:val="599B51A1"/>
    <w:multiLevelType w:val="hybridMultilevel"/>
    <w:tmpl w:val="B6CEA76C"/>
    <w:lvl w:ilvl="0" w:tplc="0C09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A866E03"/>
    <w:multiLevelType w:val="hybridMultilevel"/>
    <w:tmpl w:val="73668FE6"/>
    <w:lvl w:ilvl="0" w:tplc="0C09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B712180"/>
    <w:multiLevelType w:val="hybridMultilevel"/>
    <w:tmpl w:val="B5D401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6E434343"/>
    <w:multiLevelType w:val="hybridMultilevel"/>
    <w:tmpl w:val="DE8C1A30"/>
    <w:lvl w:ilvl="0" w:tplc="098A3C32">
      <w:start w:val="1"/>
      <w:numFmt w:val="upp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nsid w:val="7574302E"/>
    <w:multiLevelType w:val="multilevel"/>
    <w:tmpl w:val="3998E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tr-TR" w:vendorID="1" w:dllVersion="512" w:checkStyle="1"/>
  <w:proofState w:spelling="clean" w:grammar="clean"/>
  <w:stylePaneFormatFilter w:val="3F01"/>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133F27"/>
    <w:rsid w:val="00002A97"/>
    <w:rsid w:val="00017D52"/>
    <w:rsid w:val="00020DEE"/>
    <w:rsid w:val="000275D8"/>
    <w:rsid w:val="00030598"/>
    <w:rsid w:val="00030D06"/>
    <w:rsid w:val="000356B2"/>
    <w:rsid w:val="00036E68"/>
    <w:rsid w:val="00057088"/>
    <w:rsid w:val="00057D57"/>
    <w:rsid w:val="00066EBA"/>
    <w:rsid w:val="0007103A"/>
    <w:rsid w:val="00083089"/>
    <w:rsid w:val="00092910"/>
    <w:rsid w:val="000948E1"/>
    <w:rsid w:val="000B4A81"/>
    <w:rsid w:val="000C3784"/>
    <w:rsid w:val="000D5294"/>
    <w:rsid w:val="000F3D55"/>
    <w:rsid w:val="00112551"/>
    <w:rsid w:val="00122E15"/>
    <w:rsid w:val="00126D69"/>
    <w:rsid w:val="00133F27"/>
    <w:rsid w:val="0013569A"/>
    <w:rsid w:val="00137632"/>
    <w:rsid w:val="00150BB8"/>
    <w:rsid w:val="001723B2"/>
    <w:rsid w:val="00177633"/>
    <w:rsid w:val="001A4896"/>
    <w:rsid w:val="001A4E5E"/>
    <w:rsid w:val="001A4E7C"/>
    <w:rsid w:val="001C00D9"/>
    <w:rsid w:val="001E2342"/>
    <w:rsid w:val="001E6B7C"/>
    <w:rsid w:val="001F0479"/>
    <w:rsid w:val="001F1310"/>
    <w:rsid w:val="001F70D8"/>
    <w:rsid w:val="00200F0B"/>
    <w:rsid w:val="00203302"/>
    <w:rsid w:val="002069F9"/>
    <w:rsid w:val="00230DB5"/>
    <w:rsid w:val="00233269"/>
    <w:rsid w:val="002462D4"/>
    <w:rsid w:val="00263843"/>
    <w:rsid w:val="00292B98"/>
    <w:rsid w:val="002C70A0"/>
    <w:rsid w:val="002C7977"/>
    <w:rsid w:val="002F58D7"/>
    <w:rsid w:val="00303656"/>
    <w:rsid w:val="003103CD"/>
    <w:rsid w:val="00311724"/>
    <w:rsid w:val="003241CD"/>
    <w:rsid w:val="00346DEC"/>
    <w:rsid w:val="00353D38"/>
    <w:rsid w:val="00355160"/>
    <w:rsid w:val="00357A1D"/>
    <w:rsid w:val="00360C56"/>
    <w:rsid w:val="00362ED0"/>
    <w:rsid w:val="00363C08"/>
    <w:rsid w:val="003722F7"/>
    <w:rsid w:val="00391457"/>
    <w:rsid w:val="00393E5D"/>
    <w:rsid w:val="00394586"/>
    <w:rsid w:val="003A26AE"/>
    <w:rsid w:val="003B0EAA"/>
    <w:rsid w:val="003C3AB5"/>
    <w:rsid w:val="003E7A2B"/>
    <w:rsid w:val="00405979"/>
    <w:rsid w:val="0041707F"/>
    <w:rsid w:val="004230FB"/>
    <w:rsid w:val="00425838"/>
    <w:rsid w:val="00436E63"/>
    <w:rsid w:val="0044129D"/>
    <w:rsid w:val="0044507D"/>
    <w:rsid w:val="00464BB9"/>
    <w:rsid w:val="004769A2"/>
    <w:rsid w:val="004779BC"/>
    <w:rsid w:val="00480DB5"/>
    <w:rsid w:val="004C631B"/>
    <w:rsid w:val="0050336D"/>
    <w:rsid w:val="00505AB6"/>
    <w:rsid w:val="00512EC0"/>
    <w:rsid w:val="005140FD"/>
    <w:rsid w:val="0053185C"/>
    <w:rsid w:val="005365AC"/>
    <w:rsid w:val="00544BB8"/>
    <w:rsid w:val="0054768F"/>
    <w:rsid w:val="0055301A"/>
    <w:rsid w:val="00595D85"/>
    <w:rsid w:val="005A1214"/>
    <w:rsid w:val="005A3016"/>
    <w:rsid w:val="005A3568"/>
    <w:rsid w:val="005B7DBB"/>
    <w:rsid w:val="005C39F3"/>
    <w:rsid w:val="005C3A22"/>
    <w:rsid w:val="005C5454"/>
    <w:rsid w:val="005C74E3"/>
    <w:rsid w:val="005D56E3"/>
    <w:rsid w:val="005D5AE5"/>
    <w:rsid w:val="005D5BAD"/>
    <w:rsid w:val="005D6343"/>
    <w:rsid w:val="0062057D"/>
    <w:rsid w:val="006225E8"/>
    <w:rsid w:val="00642216"/>
    <w:rsid w:val="00653B7E"/>
    <w:rsid w:val="00664F06"/>
    <w:rsid w:val="00674265"/>
    <w:rsid w:val="006760AC"/>
    <w:rsid w:val="0068128E"/>
    <w:rsid w:val="006842E6"/>
    <w:rsid w:val="00687D19"/>
    <w:rsid w:val="00692085"/>
    <w:rsid w:val="006A1A73"/>
    <w:rsid w:val="006A3D54"/>
    <w:rsid w:val="006A461A"/>
    <w:rsid w:val="006A5113"/>
    <w:rsid w:val="006A7D42"/>
    <w:rsid w:val="006B11C2"/>
    <w:rsid w:val="006B1924"/>
    <w:rsid w:val="006B516B"/>
    <w:rsid w:val="006E6193"/>
    <w:rsid w:val="006F01EC"/>
    <w:rsid w:val="006F644B"/>
    <w:rsid w:val="00727871"/>
    <w:rsid w:val="00740B65"/>
    <w:rsid w:val="00741F86"/>
    <w:rsid w:val="00746991"/>
    <w:rsid w:val="00781E8C"/>
    <w:rsid w:val="00785ECB"/>
    <w:rsid w:val="00786073"/>
    <w:rsid w:val="00787313"/>
    <w:rsid w:val="007A148B"/>
    <w:rsid w:val="007A3D91"/>
    <w:rsid w:val="007B3186"/>
    <w:rsid w:val="007C3CF2"/>
    <w:rsid w:val="007D3A1E"/>
    <w:rsid w:val="007F62A9"/>
    <w:rsid w:val="007F6C1A"/>
    <w:rsid w:val="00802864"/>
    <w:rsid w:val="008211A0"/>
    <w:rsid w:val="00821885"/>
    <w:rsid w:val="008332A5"/>
    <w:rsid w:val="00845AA7"/>
    <w:rsid w:val="00876674"/>
    <w:rsid w:val="00893D16"/>
    <w:rsid w:val="008A0F0D"/>
    <w:rsid w:val="008A267E"/>
    <w:rsid w:val="008A7032"/>
    <w:rsid w:val="008B10DB"/>
    <w:rsid w:val="008C0590"/>
    <w:rsid w:val="008C0CAE"/>
    <w:rsid w:val="008D0626"/>
    <w:rsid w:val="008D281C"/>
    <w:rsid w:val="008E2562"/>
    <w:rsid w:val="009230DA"/>
    <w:rsid w:val="009246C9"/>
    <w:rsid w:val="00930B1C"/>
    <w:rsid w:val="00936F9B"/>
    <w:rsid w:val="00945A29"/>
    <w:rsid w:val="009478E6"/>
    <w:rsid w:val="00956EED"/>
    <w:rsid w:val="00967BC3"/>
    <w:rsid w:val="00970368"/>
    <w:rsid w:val="00971709"/>
    <w:rsid w:val="009730D6"/>
    <w:rsid w:val="009731B3"/>
    <w:rsid w:val="009810BD"/>
    <w:rsid w:val="009849D9"/>
    <w:rsid w:val="00987ACA"/>
    <w:rsid w:val="009915FC"/>
    <w:rsid w:val="009930E5"/>
    <w:rsid w:val="009A3FF2"/>
    <w:rsid w:val="009A479F"/>
    <w:rsid w:val="009B3DE3"/>
    <w:rsid w:val="009C12FA"/>
    <w:rsid w:val="009E1378"/>
    <w:rsid w:val="009F3488"/>
    <w:rsid w:val="009F455C"/>
    <w:rsid w:val="00A20336"/>
    <w:rsid w:val="00A26408"/>
    <w:rsid w:val="00A37303"/>
    <w:rsid w:val="00A40C5D"/>
    <w:rsid w:val="00A5686E"/>
    <w:rsid w:val="00A67510"/>
    <w:rsid w:val="00A70D33"/>
    <w:rsid w:val="00A84898"/>
    <w:rsid w:val="00A91DCC"/>
    <w:rsid w:val="00AA58DD"/>
    <w:rsid w:val="00AA7BB2"/>
    <w:rsid w:val="00AF4731"/>
    <w:rsid w:val="00AF5872"/>
    <w:rsid w:val="00B1050D"/>
    <w:rsid w:val="00B151BC"/>
    <w:rsid w:val="00B16F41"/>
    <w:rsid w:val="00B503FE"/>
    <w:rsid w:val="00B573FA"/>
    <w:rsid w:val="00B61CB2"/>
    <w:rsid w:val="00B70113"/>
    <w:rsid w:val="00B71984"/>
    <w:rsid w:val="00B7405F"/>
    <w:rsid w:val="00B810D2"/>
    <w:rsid w:val="00B9070B"/>
    <w:rsid w:val="00B93583"/>
    <w:rsid w:val="00B93F50"/>
    <w:rsid w:val="00BB4321"/>
    <w:rsid w:val="00BB4ECC"/>
    <w:rsid w:val="00BB7F94"/>
    <w:rsid w:val="00BC2FE1"/>
    <w:rsid w:val="00BD06EE"/>
    <w:rsid w:val="00BD2C32"/>
    <w:rsid w:val="00BD395F"/>
    <w:rsid w:val="00BE1367"/>
    <w:rsid w:val="00BE300E"/>
    <w:rsid w:val="00BF11A7"/>
    <w:rsid w:val="00BF17D3"/>
    <w:rsid w:val="00C007F6"/>
    <w:rsid w:val="00C13841"/>
    <w:rsid w:val="00C220EC"/>
    <w:rsid w:val="00C30B86"/>
    <w:rsid w:val="00C312C5"/>
    <w:rsid w:val="00C35A11"/>
    <w:rsid w:val="00C37F04"/>
    <w:rsid w:val="00C62188"/>
    <w:rsid w:val="00C63208"/>
    <w:rsid w:val="00C6623C"/>
    <w:rsid w:val="00C90EB8"/>
    <w:rsid w:val="00CA5662"/>
    <w:rsid w:val="00CA6CD6"/>
    <w:rsid w:val="00CA7D95"/>
    <w:rsid w:val="00CC324B"/>
    <w:rsid w:val="00CC69EC"/>
    <w:rsid w:val="00CD3805"/>
    <w:rsid w:val="00CE2CF5"/>
    <w:rsid w:val="00D0669E"/>
    <w:rsid w:val="00D1085C"/>
    <w:rsid w:val="00D16921"/>
    <w:rsid w:val="00D67A25"/>
    <w:rsid w:val="00D81819"/>
    <w:rsid w:val="00D86036"/>
    <w:rsid w:val="00D8661C"/>
    <w:rsid w:val="00DA583D"/>
    <w:rsid w:val="00DD7700"/>
    <w:rsid w:val="00DF4F1F"/>
    <w:rsid w:val="00E077D7"/>
    <w:rsid w:val="00E125B8"/>
    <w:rsid w:val="00E1768F"/>
    <w:rsid w:val="00E27631"/>
    <w:rsid w:val="00E3141A"/>
    <w:rsid w:val="00E33E30"/>
    <w:rsid w:val="00E57786"/>
    <w:rsid w:val="00E726E9"/>
    <w:rsid w:val="00E83D4F"/>
    <w:rsid w:val="00E85190"/>
    <w:rsid w:val="00E900E9"/>
    <w:rsid w:val="00E90297"/>
    <w:rsid w:val="00E91618"/>
    <w:rsid w:val="00E94D11"/>
    <w:rsid w:val="00EA6BBF"/>
    <w:rsid w:val="00EB10CE"/>
    <w:rsid w:val="00EB6AEA"/>
    <w:rsid w:val="00EB71B4"/>
    <w:rsid w:val="00EC336B"/>
    <w:rsid w:val="00ED351B"/>
    <w:rsid w:val="00ED4042"/>
    <w:rsid w:val="00EE14FA"/>
    <w:rsid w:val="00EE2289"/>
    <w:rsid w:val="00EE36F1"/>
    <w:rsid w:val="00EE41D8"/>
    <w:rsid w:val="00EE4395"/>
    <w:rsid w:val="00EF422B"/>
    <w:rsid w:val="00F00253"/>
    <w:rsid w:val="00F03A0A"/>
    <w:rsid w:val="00F144F3"/>
    <w:rsid w:val="00F33D74"/>
    <w:rsid w:val="00F34BCB"/>
    <w:rsid w:val="00F4690F"/>
    <w:rsid w:val="00F52930"/>
    <w:rsid w:val="00F543BD"/>
    <w:rsid w:val="00F654BE"/>
    <w:rsid w:val="00F74650"/>
    <w:rsid w:val="00F943AA"/>
    <w:rsid w:val="00FA5E96"/>
    <w:rsid w:val="00FB4097"/>
    <w:rsid w:val="00FD2EB2"/>
    <w:rsid w:val="00FE172B"/>
    <w:rsid w:val="00FE57F1"/>
    <w:rsid w:val="00FF36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A2B"/>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26D69"/>
    <w:pPr>
      <w:ind w:left="720"/>
    </w:pPr>
  </w:style>
  <w:style w:type="paragraph" w:styleId="BalloonText">
    <w:name w:val="Balloon Text"/>
    <w:basedOn w:val="Normal"/>
    <w:link w:val="BalloonTextChar"/>
    <w:semiHidden/>
    <w:rsid w:val="00740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740B65"/>
    <w:rPr>
      <w:rFonts w:ascii="Tahoma" w:hAnsi="Tahoma" w:cs="Tahoma"/>
      <w:sz w:val="16"/>
      <w:szCs w:val="16"/>
    </w:rPr>
  </w:style>
  <w:style w:type="paragraph" w:customStyle="1" w:styleId="rtejustify1">
    <w:name w:val="rtejustify1"/>
    <w:basedOn w:val="Normal"/>
    <w:rsid w:val="00746991"/>
    <w:pPr>
      <w:spacing w:before="100" w:beforeAutospacing="1" w:after="100" w:afterAutospacing="1" w:line="240" w:lineRule="auto"/>
      <w:jc w:val="both"/>
    </w:pPr>
    <w:rPr>
      <w:rFonts w:ascii="Times New Roman" w:hAnsi="Times New Roman"/>
      <w:sz w:val="24"/>
      <w:szCs w:val="24"/>
      <w:lang w:eastAsia="tr-TR"/>
    </w:rPr>
  </w:style>
  <w:style w:type="character" w:styleId="Hyperlink">
    <w:name w:val="Hyperlink"/>
    <w:basedOn w:val="DefaultParagraphFont"/>
    <w:rsid w:val="001F0479"/>
    <w:rPr>
      <w:color w:val="0000FF"/>
      <w:u w:val="single"/>
    </w:rPr>
  </w:style>
  <w:style w:type="paragraph" w:customStyle="1" w:styleId="Achievement">
    <w:name w:val="Achievement"/>
    <w:basedOn w:val="BodyText"/>
    <w:rsid w:val="009F3488"/>
    <w:pPr>
      <w:spacing w:after="60" w:line="240" w:lineRule="atLeast"/>
      <w:jc w:val="both"/>
    </w:pPr>
    <w:rPr>
      <w:rFonts w:ascii="Garamond" w:hAnsi="Garamond"/>
      <w:szCs w:val="20"/>
      <w:lang w:val="en-AU"/>
    </w:rPr>
  </w:style>
  <w:style w:type="paragraph" w:styleId="BodyText">
    <w:name w:val="Body Text"/>
    <w:basedOn w:val="Normal"/>
    <w:link w:val="BodyTextChar"/>
    <w:rsid w:val="009F3488"/>
    <w:pPr>
      <w:spacing w:after="120"/>
    </w:pPr>
  </w:style>
  <w:style w:type="character" w:customStyle="1" w:styleId="BodyTextChar">
    <w:name w:val="Body Text Char"/>
    <w:basedOn w:val="DefaultParagraphFont"/>
    <w:link w:val="BodyText"/>
    <w:rsid w:val="009F3488"/>
    <w:rPr>
      <w:rFonts w:eastAsia="Times New Roman"/>
      <w:sz w:val="22"/>
      <w:szCs w:val="22"/>
      <w:lang w:eastAsia="en-US"/>
    </w:rPr>
  </w:style>
  <w:style w:type="paragraph" w:styleId="FootnoteText">
    <w:name w:val="footnote text"/>
    <w:basedOn w:val="Normal"/>
    <w:link w:val="FootnoteTextChar"/>
    <w:rsid w:val="00A84898"/>
    <w:pPr>
      <w:spacing w:after="0" w:line="240" w:lineRule="auto"/>
    </w:pPr>
    <w:rPr>
      <w:sz w:val="20"/>
      <w:szCs w:val="20"/>
    </w:rPr>
  </w:style>
  <w:style w:type="character" w:customStyle="1" w:styleId="FootnoteTextChar">
    <w:name w:val="Footnote Text Char"/>
    <w:basedOn w:val="DefaultParagraphFont"/>
    <w:link w:val="FootnoteText"/>
    <w:rsid w:val="00A84898"/>
    <w:rPr>
      <w:rFonts w:eastAsia="Times New Roman"/>
      <w:lang w:eastAsia="en-US"/>
    </w:rPr>
  </w:style>
  <w:style w:type="character" w:styleId="FootnoteReference">
    <w:name w:val="footnote reference"/>
    <w:basedOn w:val="DefaultParagraphFont"/>
    <w:rsid w:val="00A848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2043">
      <w:bodyDiv w:val="1"/>
      <w:marLeft w:val="0"/>
      <w:marRight w:val="0"/>
      <w:marTop w:val="0"/>
      <w:marBottom w:val="0"/>
      <w:divBdr>
        <w:top w:val="none" w:sz="0" w:space="0" w:color="auto"/>
        <w:left w:val="none" w:sz="0" w:space="0" w:color="auto"/>
        <w:bottom w:val="none" w:sz="0" w:space="0" w:color="auto"/>
        <w:right w:val="none" w:sz="0" w:space="0" w:color="auto"/>
      </w:divBdr>
      <w:divsChild>
        <w:div w:id="1494444767">
          <w:marLeft w:val="0"/>
          <w:marRight w:val="0"/>
          <w:marTop w:val="0"/>
          <w:marBottom w:val="0"/>
          <w:divBdr>
            <w:top w:val="none" w:sz="0" w:space="0" w:color="auto"/>
            <w:left w:val="none" w:sz="0" w:space="0" w:color="auto"/>
            <w:bottom w:val="none" w:sz="0" w:space="0" w:color="auto"/>
            <w:right w:val="none" w:sz="0" w:space="0" w:color="auto"/>
          </w:divBdr>
          <w:divsChild>
            <w:div w:id="567032968">
              <w:marLeft w:val="0"/>
              <w:marRight w:val="0"/>
              <w:marTop w:val="0"/>
              <w:marBottom w:val="0"/>
              <w:divBdr>
                <w:top w:val="none" w:sz="0" w:space="0" w:color="auto"/>
                <w:left w:val="none" w:sz="0" w:space="0" w:color="auto"/>
                <w:bottom w:val="none" w:sz="0" w:space="0" w:color="auto"/>
                <w:right w:val="none" w:sz="0" w:space="0" w:color="auto"/>
              </w:divBdr>
              <w:divsChild>
                <w:div w:id="1662731897">
                  <w:marLeft w:val="0"/>
                  <w:marRight w:val="0"/>
                  <w:marTop w:val="0"/>
                  <w:marBottom w:val="0"/>
                  <w:divBdr>
                    <w:top w:val="none" w:sz="0" w:space="0" w:color="auto"/>
                    <w:left w:val="none" w:sz="0" w:space="0" w:color="auto"/>
                    <w:bottom w:val="none" w:sz="0" w:space="0" w:color="auto"/>
                    <w:right w:val="none" w:sz="0" w:space="0" w:color="auto"/>
                  </w:divBdr>
                  <w:divsChild>
                    <w:div w:id="959798968">
                      <w:marLeft w:val="0"/>
                      <w:marRight w:val="0"/>
                      <w:marTop w:val="0"/>
                      <w:marBottom w:val="0"/>
                      <w:divBdr>
                        <w:top w:val="none" w:sz="0" w:space="0" w:color="auto"/>
                        <w:left w:val="none" w:sz="0" w:space="0" w:color="auto"/>
                        <w:bottom w:val="none" w:sz="0" w:space="0" w:color="auto"/>
                        <w:right w:val="none" w:sz="0" w:space="0" w:color="auto"/>
                      </w:divBdr>
                      <w:divsChild>
                        <w:div w:id="1265848627">
                          <w:marLeft w:val="0"/>
                          <w:marRight w:val="-15000"/>
                          <w:marTop w:val="300"/>
                          <w:marBottom w:val="0"/>
                          <w:divBdr>
                            <w:top w:val="none" w:sz="0" w:space="0" w:color="auto"/>
                            <w:left w:val="none" w:sz="0" w:space="0" w:color="auto"/>
                            <w:bottom w:val="none" w:sz="0" w:space="0" w:color="auto"/>
                            <w:right w:val="none" w:sz="0" w:space="0" w:color="auto"/>
                          </w:divBdr>
                          <w:divsChild>
                            <w:div w:id="406079401">
                              <w:marLeft w:val="0"/>
                              <w:marRight w:val="0"/>
                              <w:marTop w:val="0"/>
                              <w:marBottom w:val="0"/>
                              <w:divBdr>
                                <w:top w:val="none" w:sz="0" w:space="0" w:color="auto"/>
                                <w:left w:val="none" w:sz="0" w:space="0" w:color="auto"/>
                                <w:bottom w:val="none" w:sz="0" w:space="0" w:color="auto"/>
                                <w:right w:val="none" w:sz="0" w:space="0" w:color="auto"/>
                              </w:divBdr>
                              <w:divsChild>
                                <w:div w:id="1096096050">
                                  <w:marLeft w:val="150"/>
                                  <w:marRight w:val="0"/>
                                  <w:marTop w:val="0"/>
                                  <w:marBottom w:val="0"/>
                                  <w:divBdr>
                                    <w:top w:val="none" w:sz="0" w:space="0" w:color="auto"/>
                                    <w:left w:val="none" w:sz="0" w:space="0" w:color="auto"/>
                                    <w:bottom w:val="none" w:sz="0" w:space="0" w:color="auto"/>
                                    <w:right w:val="none" w:sz="0" w:space="0" w:color="auto"/>
                                  </w:divBdr>
                                  <w:divsChild>
                                    <w:div w:id="1224364326">
                                      <w:marLeft w:val="0"/>
                                      <w:marRight w:val="0"/>
                                      <w:marTop w:val="0"/>
                                      <w:marBottom w:val="0"/>
                                      <w:divBdr>
                                        <w:top w:val="none" w:sz="0" w:space="0" w:color="auto"/>
                                        <w:left w:val="none" w:sz="0" w:space="0" w:color="auto"/>
                                        <w:bottom w:val="none" w:sz="0" w:space="0" w:color="auto"/>
                                        <w:right w:val="none" w:sz="0" w:space="0" w:color="auto"/>
                                      </w:divBdr>
                                      <w:divsChild>
                                        <w:div w:id="1909147852">
                                          <w:marLeft w:val="0"/>
                                          <w:marRight w:val="0"/>
                                          <w:marTop w:val="0"/>
                                          <w:marBottom w:val="0"/>
                                          <w:divBdr>
                                            <w:top w:val="none" w:sz="0" w:space="0" w:color="auto"/>
                                            <w:left w:val="none" w:sz="0" w:space="0" w:color="auto"/>
                                            <w:bottom w:val="none" w:sz="0" w:space="0" w:color="auto"/>
                                            <w:right w:val="none" w:sz="0" w:space="0" w:color="auto"/>
                                          </w:divBdr>
                                          <w:divsChild>
                                            <w:div w:id="1667979193">
                                              <w:marLeft w:val="0"/>
                                              <w:marRight w:val="0"/>
                                              <w:marTop w:val="0"/>
                                              <w:marBottom w:val="0"/>
                                              <w:divBdr>
                                                <w:top w:val="none" w:sz="0" w:space="0" w:color="auto"/>
                                                <w:left w:val="none" w:sz="0" w:space="0" w:color="auto"/>
                                                <w:bottom w:val="none" w:sz="0" w:space="0" w:color="auto"/>
                                                <w:right w:val="none" w:sz="0" w:space="0" w:color="auto"/>
                                              </w:divBdr>
                                              <w:divsChild>
                                                <w:div w:id="27742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774668">
      <w:bodyDiv w:val="1"/>
      <w:marLeft w:val="0"/>
      <w:marRight w:val="0"/>
      <w:marTop w:val="0"/>
      <w:marBottom w:val="0"/>
      <w:divBdr>
        <w:top w:val="none" w:sz="0" w:space="0" w:color="auto"/>
        <w:left w:val="none" w:sz="0" w:space="0" w:color="auto"/>
        <w:bottom w:val="none" w:sz="0" w:space="0" w:color="auto"/>
        <w:right w:val="none" w:sz="0" w:space="0" w:color="auto"/>
      </w:divBdr>
    </w:div>
    <w:div w:id="1137183966">
      <w:bodyDiv w:val="1"/>
      <w:marLeft w:val="0"/>
      <w:marRight w:val="0"/>
      <w:marTop w:val="0"/>
      <w:marBottom w:val="0"/>
      <w:divBdr>
        <w:top w:val="none" w:sz="0" w:space="0" w:color="auto"/>
        <w:left w:val="none" w:sz="0" w:space="0" w:color="auto"/>
        <w:bottom w:val="none" w:sz="0" w:space="0" w:color="auto"/>
        <w:right w:val="none" w:sz="0" w:space="0" w:color="auto"/>
      </w:divBdr>
    </w:div>
    <w:div w:id="1533033525">
      <w:bodyDiv w:val="1"/>
      <w:marLeft w:val="0"/>
      <w:marRight w:val="0"/>
      <w:marTop w:val="0"/>
      <w:marBottom w:val="0"/>
      <w:divBdr>
        <w:top w:val="none" w:sz="0" w:space="0" w:color="auto"/>
        <w:left w:val="none" w:sz="0" w:space="0" w:color="auto"/>
        <w:bottom w:val="none" w:sz="0" w:space="0" w:color="auto"/>
        <w:right w:val="none" w:sz="0" w:space="0" w:color="auto"/>
      </w:divBdr>
      <w:divsChild>
        <w:div w:id="1662737487">
          <w:marLeft w:val="0"/>
          <w:marRight w:val="0"/>
          <w:marTop w:val="0"/>
          <w:marBottom w:val="0"/>
          <w:divBdr>
            <w:top w:val="none" w:sz="0" w:space="0" w:color="auto"/>
            <w:left w:val="none" w:sz="0" w:space="0" w:color="auto"/>
            <w:bottom w:val="none" w:sz="0" w:space="0" w:color="auto"/>
            <w:right w:val="none" w:sz="0" w:space="0" w:color="auto"/>
          </w:divBdr>
        </w:div>
      </w:divsChild>
    </w:div>
    <w:div w:id="1594128264">
      <w:bodyDiv w:val="1"/>
      <w:marLeft w:val="0"/>
      <w:marRight w:val="0"/>
      <w:marTop w:val="0"/>
      <w:marBottom w:val="0"/>
      <w:divBdr>
        <w:top w:val="none" w:sz="0" w:space="0" w:color="auto"/>
        <w:left w:val="none" w:sz="0" w:space="0" w:color="auto"/>
        <w:bottom w:val="none" w:sz="0" w:space="0" w:color="auto"/>
        <w:right w:val="none" w:sz="0" w:space="0" w:color="auto"/>
      </w:divBdr>
      <w:divsChild>
        <w:div w:id="1618758707">
          <w:marLeft w:val="0"/>
          <w:marRight w:val="0"/>
          <w:marTop w:val="0"/>
          <w:marBottom w:val="0"/>
          <w:divBdr>
            <w:top w:val="none" w:sz="0" w:space="0" w:color="auto"/>
            <w:left w:val="none" w:sz="0" w:space="0" w:color="auto"/>
            <w:bottom w:val="none" w:sz="0" w:space="0" w:color="auto"/>
            <w:right w:val="none" w:sz="0" w:space="0" w:color="auto"/>
          </w:divBdr>
          <w:divsChild>
            <w:div w:id="781998993">
              <w:marLeft w:val="0"/>
              <w:marRight w:val="0"/>
              <w:marTop w:val="0"/>
              <w:marBottom w:val="0"/>
              <w:divBdr>
                <w:top w:val="none" w:sz="0" w:space="0" w:color="auto"/>
                <w:left w:val="none" w:sz="0" w:space="0" w:color="auto"/>
                <w:bottom w:val="none" w:sz="0" w:space="0" w:color="auto"/>
                <w:right w:val="none" w:sz="0" w:space="0" w:color="auto"/>
              </w:divBdr>
              <w:divsChild>
                <w:div w:id="1517766695">
                  <w:marLeft w:val="0"/>
                  <w:marRight w:val="0"/>
                  <w:marTop w:val="0"/>
                  <w:marBottom w:val="0"/>
                  <w:divBdr>
                    <w:top w:val="none" w:sz="0" w:space="0" w:color="auto"/>
                    <w:left w:val="none" w:sz="0" w:space="0" w:color="auto"/>
                    <w:bottom w:val="none" w:sz="0" w:space="0" w:color="auto"/>
                    <w:right w:val="none" w:sz="0" w:space="0" w:color="auto"/>
                  </w:divBdr>
                  <w:divsChild>
                    <w:div w:id="48383220">
                      <w:marLeft w:val="0"/>
                      <w:marRight w:val="0"/>
                      <w:marTop w:val="0"/>
                      <w:marBottom w:val="0"/>
                      <w:divBdr>
                        <w:top w:val="none" w:sz="0" w:space="0" w:color="auto"/>
                        <w:left w:val="none" w:sz="0" w:space="0" w:color="auto"/>
                        <w:bottom w:val="none" w:sz="0" w:space="0" w:color="auto"/>
                        <w:right w:val="none" w:sz="0" w:space="0" w:color="auto"/>
                      </w:divBdr>
                      <w:divsChild>
                        <w:div w:id="1154494781">
                          <w:marLeft w:val="0"/>
                          <w:marRight w:val="-15000"/>
                          <w:marTop w:val="300"/>
                          <w:marBottom w:val="0"/>
                          <w:divBdr>
                            <w:top w:val="none" w:sz="0" w:space="0" w:color="auto"/>
                            <w:left w:val="none" w:sz="0" w:space="0" w:color="auto"/>
                            <w:bottom w:val="none" w:sz="0" w:space="0" w:color="auto"/>
                            <w:right w:val="none" w:sz="0" w:space="0" w:color="auto"/>
                          </w:divBdr>
                          <w:divsChild>
                            <w:div w:id="1764640354">
                              <w:marLeft w:val="0"/>
                              <w:marRight w:val="0"/>
                              <w:marTop w:val="0"/>
                              <w:marBottom w:val="0"/>
                              <w:divBdr>
                                <w:top w:val="none" w:sz="0" w:space="0" w:color="auto"/>
                                <w:left w:val="none" w:sz="0" w:space="0" w:color="auto"/>
                                <w:bottom w:val="none" w:sz="0" w:space="0" w:color="auto"/>
                                <w:right w:val="none" w:sz="0" w:space="0" w:color="auto"/>
                              </w:divBdr>
                              <w:divsChild>
                                <w:div w:id="569660244">
                                  <w:marLeft w:val="150"/>
                                  <w:marRight w:val="0"/>
                                  <w:marTop w:val="0"/>
                                  <w:marBottom w:val="0"/>
                                  <w:divBdr>
                                    <w:top w:val="none" w:sz="0" w:space="0" w:color="auto"/>
                                    <w:left w:val="none" w:sz="0" w:space="0" w:color="auto"/>
                                    <w:bottom w:val="none" w:sz="0" w:space="0" w:color="auto"/>
                                    <w:right w:val="none" w:sz="0" w:space="0" w:color="auto"/>
                                  </w:divBdr>
                                  <w:divsChild>
                                    <w:div w:id="309360339">
                                      <w:marLeft w:val="0"/>
                                      <w:marRight w:val="0"/>
                                      <w:marTop w:val="0"/>
                                      <w:marBottom w:val="0"/>
                                      <w:divBdr>
                                        <w:top w:val="none" w:sz="0" w:space="0" w:color="auto"/>
                                        <w:left w:val="none" w:sz="0" w:space="0" w:color="auto"/>
                                        <w:bottom w:val="none" w:sz="0" w:space="0" w:color="auto"/>
                                        <w:right w:val="none" w:sz="0" w:space="0" w:color="auto"/>
                                      </w:divBdr>
                                      <w:divsChild>
                                        <w:div w:id="653723015">
                                          <w:marLeft w:val="0"/>
                                          <w:marRight w:val="0"/>
                                          <w:marTop w:val="0"/>
                                          <w:marBottom w:val="0"/>
                                          <w:divBdr>
                                            <w:top w:val="none" w:sz="0" w:space="0" w:color="auto"/>
                                            <w:left w:val="none" w:sz="0" w:space="0" w:color="auto"/>
                                            <w:bottom w:val="none" w:sz="0" w:space="0" w:color="auto"/>
                                            <w:right w:val="none" w:sz="0" w:space="0" w:color="auto"/>
                                          </w:divBdr>
                                          <w:divsChild>
                                            <w:div w:id="521942171">
                                              <w:marLeft w:val="0"/>
                                              <w:marRight w:val="0"/>
                                              <w:marTop w:val="0"/>
                                              <w:marBottom w:val="0"/>
                                              <w:divBdr>
                                                <w:top w:val="none" w:sz="0" w:space="0" w:color="auto"/>
                                                <w:left w:val="none" w:sz="0" w:space="0" w:color="auto"/>
                                                <w:bottom w:val="none" w:sz="0" w:space="0" w:color="auto"/>
                                                <w:right w:val="none" w:sz="0" w:space="0" w:color="auto"/>
                                              </w:divBdr>
                                              <w:divsChild>
                                                <w:div w:id="21010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9C01391-EA47-407E-83CA-E83BC8ED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1898</Words>
  <Characters>10820</Characters>
  <Application>Microsoft Office Word</Application>
  <DocSecurity>0</DocSecurity>
  <Lines>90</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IS THERE STILL AN AMPLE ROOM FOR PBs IN TURKEY TO GO FURTHER</vt:lpstr>
      <vt:lpstr>IS THERE STILL AN AMPLE ROOM FOR PBs IN TURKEY TO GO FURTHER</vt:lpstr>
    </vt:vector>
  </TitlesOfParts>
  <Company>KTEFK</Company>
  <LinksUpToDate>false</LinksUpToDate>
  <CharactersWithSpaces>12693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STILL AN AMPLE ROOM FOR PBs IN TURKEY TO GO FURTHER</dc:title>
  <dc:subject/>
  <dc:creator>BIM</dc:creator>
  <cp:keywords/>
  <dc:description/>
  <cp:lastModifiedBy>zozbek</cp:lastModifiedBy>
  <cp:revision>4</cp:revision>
  <cp:lastPrinted>2011-04-18T14:36:00Z</cp:lastPrinted>
  <dcterms:created xsi:type="dcterms:W3CDTF">2011-08-25T10:48:00Z</dcterms:created>
  <dcterms:modified xsi:type="dcterms:W3CDTF">2011-08-25T12:23:00Z</dcterms:modified>
</cp:coreProperties>
</file>